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1" w:rsidRPr="007420F5" w:rsidRDefault="00A31CC7" w:rsidP="007420F5">
      <w:pPr>
        <w:ind w:left="4320" w:firstLine="720"/>
        <w:rPr>
          <w:b/>
          <w:sz w:val="28"/>
          <w:szCs w:val="28"/>
        </w:rPr>
      </w:pPr>
      <w:r w:rsidRPr="007420F5">
        <w:rPr>
          <w:b/>
          <w:sz w:val="28"/>
          <w:szCs w:val="28"/>
        </w:rPr>
        <w:t>Processing Deficits Matrix</w:t>
      </w:r>
      <w:r w:rsidR="007420F5" w:rsidRPr="007420F5">
        <w:rPr>
          <w:b/>
          <w:sz w:val="28"/>
          <w:szCs w:val="28"/>
        </w:rPr>
        <w:t>---</w:t>
      </w:r>
    </w:p>
    <w:p w:rsidR="009F2651" w:rsidRPr="00225243" w:rsidRDefault="00A31CC7" w:rsidP="00A31CC7">
      <w:pPr>
        <w:rPr>
          <w:b/>
        </w:rPr>
      </w:pPr>
      <w:r w:rsidRPr="00225243">
        <w:rPr>
          <w:b/>
        </w:rPr>
        <w:t>Connecting Learning Processes with Individualized Strategies</w:t>
      </w:r>
      <w:r w:rsidR="007420F5">
        <w:rPr>
          <w:b/>
        </w:rPr>
        <w:t xml:space="preserve">:  </w:t>
      </w:r>
      <w:r w:rsidR="00225243">
        <w:rPr>
          <w:b/>
        </w:rPr>
        <w:t>An example of individualized strategies that will support deficit areas is listed with appropriate skill area</w:t>
      </w:r>
      <w:r w:rsidR="009D69D5">
        <w:rPr>
          <w:b/>
        </w:rPr>
        <w:t xml:space="preserve">s.  </w:t>
      </w:r>
      <w:r w:rsidR="007420F5">
        <w:rPr>
          <w:b/>
        </w:rPr>
        <w:t xml:space="preserve">Most of these skill areas are aligned with the Anchor Standards of the Common Core Standards.  </w:t>
      </w:r>
      <w:r w:rsidR="009D69D5">
        <w:rPr>
          <w:b/>
        </w:rPr>
        <w:t>The lists are not inclusive</w:t>
      </w:r>
      <w:r w:rsidR="00225243">
        <w:rPr>
          <w:b/>
        </w:rPr>
        <w:t xml:space="preserve"> and it is important to remember that with most students, processing deficits do not exist alone.  Many students have a combination of deficits which will impact decision-making regarding the best strategies to use.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82"/>
        <w:gridCol w:w="2366"/>
        <w:gridCol w:w="2250"/>
        <w:gridCol w:w="2340"/>
        <w:gridCol w:w="2340"/>
        <w:gridCol w:w="2340"/>
      </w:tblGrid>
      <w:tr w:rsidR="008E127E" w:rsidTr="008E127E">
        <w:tc>
          <w:tcPr>
            <w:tcW w:w="1882" w:type="dxa"/>
          </w:tcPr>
          <w:p w:rsidR="008E127E" w:rsidRPr="008E5F9D" w:rsidRDefault="008E127E"/>
        </w:tc>
        <w:tc>
          <w:tcPr>
            <w:tcW w:w="2366" w:type="dxa"/>
          </w:tcPr>
          <w:p w:rsidR="008E127E" w:rsidRPr="00A31CC7" w:rsidRDefault="008E127E">
            <w:pPr>
              <w:rPr>
                <w:b/>
              </w:rPr>
            </w:pPr>
            <w:r w:rsidRPr="00A31CC7">
              <w:rPr>
                <w:b/>
              </w:rPr>
              <w:t>Listening Tasks</w:t>
            </w:r>
          </w:p>
        </w:tc>
        <w:tc>
          <w:tcPr>
            <w:tcW w:w="2250" w:type="dxa"/>
          </w:tcPr>
          <w:p w:rsidR="008E127E" w:rsidRPr="00A31CC7" w:rsidRDefault="008E127E">
            <w:pPr>
              <w:rPr>
                <w:b/>
              </w:rPr>
            </w:pPr>
            <w:r w:rsidRPr="00A31CC7">
              <w:rPr>
                <w:b/>
              </w:rPr>
              <w:t>Speaking Tasks</w:t>
            </w:r>
          </w:p>
        </w:tc>
        <w:tc>
          <w:tcPr>
            <w:tcW w:w="2340" w:type="dxa"/>
          </w:tcPr>
          <w:p w:rsidR="008E127E" w:rsidRPr="00A31CC7" w:rsidRDefault="008E127E">
            <w:pPr>
              <w:rPr>
                <w:b/>
              </w:rPr>
            </w:pPr>
            <w:r w:rsidRPr="00A31CC7">
              <w:rPr>
                <w:b/>
              </w:rPr>
              <w:t>Study Skills/Learning Behaviors</w:t>
            </w:r>
          </w:p>
        </w:tc>
        <w:tc>
          <w:tcPr>
            <w:tcW w:w="2340" w:type="dxa"/>
          </w:tcPr>
          <w:p w:rsidR="008E127E" w:rsidRPr="00A31CC7" w:rsidRDefault="008E127E">
            <w:pPr>
              <w:rPr>
                <w:b/>
              </w:rPr>
            </w:pPr>
            <w:r w:rsidRPr="00A31CC7">
              <w:rPr>
                <w:b/>
              </w:rPr>
              <w:t>Reading Tasks</w:t>
            </w:r>
          </w:p>
        </w:tc>
        <w:tc>
          <w:tcPr>
            <w:tcW w:w="2340" w:type="dxa"/>
          </w:tcPr>
          <w:p w:rsidR="008E127E" w:rsidRPr="00A31CC7" w:rsidRDefault="008E127E">
            <w:pPr>
              <w:rPr>
                <w:b/>
              </w:rPr>
            </w:pPr>
            <w:r w:rsidRPr="00A31CC7">
              <w:rPr>
                <w:b/>
              </w:rPr>
              <w:t>Writing Tasks</w:t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Visual Processing Deficits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 w:rsidP="00F07CEA">
            <w:pPr>
              <w:tabs>
                <w:tab w:val="left" w:pos="1540"/>
              </w:tabs>
            </w:pPr>
            <w:r>
              <w:t>-repeat oral direction</w:t>
            </w:r>
            <w:r>
              <w:br/>
              <w:t>-anticipate confusion/provide exemplars</w:t>
            </w:r>
            <w:r>
              <w:tab/>
            </w:r>
          </w:p>
        </w:tc>
        <w:tc>
          <w:tcPr>
            <w:tcW w:w="2250" w:type="dxa"/>
          </w:tcPr>
          <w:p w:rsidR="008E127E" w:rsidRDefault="008E127E">
            <w:r>
              <w:t>-combine reading w/oral presentation</w:t>
            </w:r>
            <w:r>
              <w:br/>
              <w:t>-substitute oral reports for written</w:t>
            </w:r>
            <w:r>
              <w:br/>
              <w:t>-</w:t>
            </w:r>
            <w:r w:rsidRPr="008E127E">
              <w:t>When presenting information, use highlighters, bumped lines to create stronger visual of line location</w:t>
            </w:r>
          </w:p>
        </w:tc>
        <w:tc>
          <w:tcPr>
            <w:tcW w:w="2340" w:type="dxa"/>
          </w:tcPr>
          <w:p w:rsidR="008E127E" w:rsidRDefault="008E127E">
            <w:r>
              <w:t>-Color code important information;</w:t>
            </w:r>
          </w:p>
          <w:p w:rsidR="008E127E" w:rsidRDefault="008E127E">
            <w:r>
              <w:t>-Pair verbal and visual information;</w:t>
            </w:r>
          </w:p>
        </w:tc>
        <w:tc>
          <w:tcPr>
            <w:tcW w:w="2340" w:type="dxa"/>
          </w:tcPr>
          <w:p w:rsidR="008E127E" w:rsidRDefault="008E127E">
            <w:r>
              <w:t>-Highlight</w:t>
            </w:r>
          </w:p>
          <w:p w:rsidR="008E127E" w:rsidRDefault="008E127E">
            <w:r>
              <w:t>Separate information on a worksheet;</w:t>
            </w:r>
          </w:p>
          <w:p w:rsidR="008E127E" w:rsidRDefault="008E127E">
            <w:r>
              <w:t>-Multisensory approach to learning</w:t>
            </w:r>
            <w:r>
              <w:br/>
              <w:t>-use place-markers for reading charts/tables</w:t>
            </w:r>
          </w:p>
          <w:p w:rsidR="008E127E" w:rsidRDefault="008E127E"/>
        </w:tc>
        <w:tc>
          <w:tcPr>
            <w:tcW w:w="2340" w:type="dxa"/>
          </w:tcPr>
          <w:p w:rsidR="008E127E" w:rsidRDefault="008E127E">
            <w:r>
              <w:t>-Decrease note-taking from board/screen;</w:t>
            </w:r>
          </w:p>
          <w:p w:rsidR="008E127E" w:rsidRDefault="008E127E">
            <w:r>
              <w:t>Cloze notes</w:t>
            </w:r>
            <w:r>
              <w:br/>
              <w:t>-clearly space word-problems on a page</w:t>
            </w:r>
            <w:r>
              <w:br/>
              <w:t>-color-code written information</w:t>
            </w:r>
            <w:r>
              <w:br/>
              <w:t>-assign a “note-buddy” to help ensure clear and organized writing assignments</w:t>
            </w:r>
          </w:p>
          <w:p w:rsidR="008E127E" w:rsidRDefault="008E127E"/>
          <w:p w:rsidR="008E127E" w:rsidRDefault="008E127E"/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Auditory Processing Deficits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Default="008E127E">
            <w:pPr>
              <w:rPr>
                <w:b/>
              </w:rPr>
            </w:pPr>
          </w:p>
          <w:p w:rsidR="009F2651" w:rsidRDefault="009F2651">
            <w:pPr>
              <w:rPr>
                <w:b/>
              </w:rPr>
            </w:pPr>
          </w:p>
          <w:p w:rsidR="009F2651" w:rsidRDefault="009F2651">
            <w:pPr>
              <w:rPr>
                <w:b/>
              </w:rPr>
            </w:pPr>
          </w:p>
          <w:p w:rsidR="00DE43C8" w:rsidRDefault="00DE43C8">
            <w:pPr>
              <w:rPr>
                <w:b/>
              </w:rPr>
            </w:pPr>
          </w:p>
          <w:p w:rsidR="007420F5" w:rsidRDefault="007420F5">
            <w:pPr>
              <w:rPr>
                <w:b/>
              </w:rPr>
            </w:pPr>
          </w:p>
          <w:p w:rsidR="00DE43C8" w:rsidRPr="008E5F9D" w:rsidRDefault="00DE43C8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-Pair visual and verbal information;</w:t>
            </w:r>
          </w:p>
          <w:p w:rsidR="008E127E" w:rsidRDefault="008E127E">
            <w:r>
              <w:t>-Eliminate distracting sounds;</w:t>
            </w:r>
          </w:p>
        </w:tc>
        <w:tc>
          <w:tcPr>
            <w:tcW w:w="2250" w:type="dxa"/>
          </w:tcPr>
          <w:p w:rsidR="008E127E" w:rsidRDefault="008E127E" w:rsidP="008E127E">
            <w:r>
              <w:t>-model use of appropriate vocabulary</w:t>
            </w:r>
            <w:r>
              <w:br/>
              <w:t>-minimize distractions</w:t>
            </w:r>
            <w:r>
              <w:br/>
              <w:t>-allow time to respond orally or prepare student with question before soliciting a response</w:t>
            </w:r>
          </w:p>
        </w:tc>
        <w:tc>
          <w:tcPr>
            <w:tcW w:w="2340" w:type="dxa"/>
          </w:tcPr>
          <w:p w:rsidR="008E127E" w:rsidRDefault="008E127E">
            <w:r>
              <w:t>-Gain students’ attention</w:t>
            </w:r>
          </w:p>
          <w:p w:rsidR="008E127E" w:rsidRDefault="008E127E">
            <w:r>
              <w:t>-use visual cues</w:t>
            </w:r>
          </w:p>
        </w:tc>
        <w:tc>
          <w:tcPr>
            <w:tcW w:w="2340" w:type="dxa"/>
          </w:tcPr>
          <w:p w:rsidR="008E127E" w:rsidRDefault="008E127E">
            <w:r>
              <w:t>-use context clues</w:t>
            </w:r>
            <w:r>
              <w:br/>
              <w:t>-use repeated reading of texts</w:t>
            </w:r>
            <w:r>
              <w:br/>
              <w:t>-preview reading materials</w:t>
            </w:r>
            <w:r>
              <w:br/>
              <w:t>-model fluent reading by reading aloud</w:t>
            </w:r>
          </w:p>
        </w:tc>
        <w:tc>
          <w:tcPr>
            <w:tcW w:w="2340" w:type="dxa"/>
          </w:tcPr>
          <w:p w:rsidR="008E127E" w:rsidRDefault="008E127E">
            <w:r>
              <w:t>-visuals &amp; picture cues</w:t>
            </w:r>
            <w:r>
              <w:br/>
              <w:t>-use word banks</w:t>
            </w:r>
            <w:r>
              <w:br/>
              <w:t>-introduce graphic organizers</w:t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lastRenderedPageBreak/>
              <w:t>Memory-Long-term and Short-term memory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-Use emotional “hooks” to share information</w:t>
            </w:r>
            <w:r>
              <w:br/>
              <w:t>Chunk and create visual images to keep information active in short-term memory</w:t>
            </w:r>
            <w:r>
              <w:br/>
              <w:t>-Have students verbally repeat/summarize directions, steps or strategies</w:t>
            </w:r>
          </w:p>
        </w:tc>
        <w:tc>
          <w:tcPr>
            <w:tcW w:w="2250" w:type="dxa"/>
          </w:tcPr>
          <w:p w:rsidR="008E127E" w:rsidRDefault="008E127E">
            <w:r>
              <w:t>-Model process of summarizing at strategic points</w:t>
            </w:r>
            <w:r>
              <w:br/>
              <w:t>-Teach mnemonic techniques</w:t>
            </w:r>
            <w:r>
              <w:br/>
              <w:t>-Teach step-by-step with gradual release of responsibility</w:t>
            </w:r>
          </w:p>
        </w:tc>
        <w:tc>
          <w:tcPr>
            <w:tcW w:w="2340" w:type="dxa"/>
          </w:tcPr>
          <w:p w:rsidR="008E127E" w:rsidRDefault="008E127E">
            <w:r>
              <w:t>-use “student-friendly” study guides</w:t>
            </w:r>
            <w:r>
              <w:br/>
              <w:t>-use learning contracts”</w:t>
            </w:r>
            <w:r>
              <w:br/>
              <w:t>-use “student-friendly” rubrics/checklists</w:t>
            </w:r>
          </w:p>
        </w:tc>
        <w:tc>
          <w:tcPr>
            <w:tcW w:w="2340" w:type="dxa"/>
          </w:tcPr>
          <w:p w:rsidR="008E127E" w:rsidRDefault="008E127E">
            <w:r>
              <w:t>-Phonics-Daily practice with multi-sensory strategies when learning to spell --decodable/non-decodable words</w:t>
            </w:r>
            <w:r>
              <w:br/>
              <w:t>-Fluency-Repeated reading with a partner-timed practice</w:t>
            </w:r>
          </w:p>
        </w:tc>
        <w:tc>
          <w:tcPr>
            <w:tcW w:w="2340" w:type="dxa"/>
          </w:tcPr>
          <w:p w:rsidR="008E127E" w:rsidRDefault="008E127E">
            <w:r>
              <w:t>-use graphic organizers</w:t>
            </w:r>
            <w:r>
              <w:br/>
              <w:t>-use word banks</w:t>
            </w:r>
            <w:r>
              <w:br/>
              <w:t>-word banks</w:t>
            </w:r>
            <w:r>
              <w:br/>
              <w:t>-tape recorder to record and brainstorm ideas</w:t>
            </w:r>
          </w:p>
        </w:tc>
      </w:tr>
      <w:tr w:rsidR="008E127E" w:rsidTr="008E127E">
        <w:tc>
          <w:tcPr>
            <w:tcW w:w="1882" w:type="dxa"/>
            <w:shd w:val="clear" w:color="auto" w:fill="D9D9D9" w:themeFill="background1" w:themeFillShade="D9"/>
          </w:tcPr>
          <w:p w:rsidR="008E127E" w:rsidRPr="008E5F9D" w:rsidRDefault="008E127E" w:rsidP="00C36B4E"/>
        </w:tc>
        <w:tc>
          <w:tcPr>
            <w:tcW w:w="2366" w:type="dxa"/>
            <w:shd w:val="clear" w:color="auto" w:fill="D9D9D9" w:themeFill="background1" w:themeFillShade="D9"/>
          </w:tcPr>
          <w:p w:rsidR="008E127E" w:rsidRPr="00C2246D" w:rsidRDefault="008E127E" w:rsidP="00C36B4E">
            <w:r w:rsidRPr="00C2246D">
              <w:t>Listening Tasks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E127E" w:rsidRPr="00C2246D" w:rsidRDefault="008E127E" w:rsidP="00C36B4E">
            <w:r w:rsidRPr="00C2246D">
              <w:t>Speaking Tasks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E127E" w:rsidRPr="00C2246D" w:rsidRDefault="008E127E" w:rsidP="00C36B4E">
            <w:r w:rsidRPr="00C2246D">
              <w:t>Study Skills/Learning Behaviors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E127E" w:rsidRPr="00C2246D" w:rsidRDefault="008E127E" w:rsidP="00C36B4E">
            <w:r w:rsidRPr="00C2246D">
              <w:t>Reading Tasks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E127E" w:rsidRPr="00C2246D" w:rsidRDefault="008E127E" w:rsidP="00C36B4E">
            <w:r w:rsidRPr="00C2246D">
              <w:t>Writing Tasks</w:t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Motor Disabilities-Fine Motor and Visual Motor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-allow recorder for lectures</w:t>
            </w:r>
            <w:r>
              <w:br/>
              <w:t>-combine visual w/oral presentations  of information</w:t>
            </w:r>
          </w:p>
        </w:tc>
        <w:tc>
          <w:tcPr>
            <w:tcW w:w="2250" w:type="dxa"/>
          </w:tcPr>
          <w:p w:rsidR="008E127E" w:rsidRDefault="008E127E">
            <w:r>
              <w:t>-When presenting information, use highlighters, bumped lines to create stronger visual of line location</w:t>
            </w:r>
          </w:p>
        </w:tc>
        <w:tc>
          <w:tcPr>
            <w:tcW w:w="2340" w:type="dxa"/>
          </w:tcPr>
          <w:p w:rsidR="008E127E" w:rsidRDefault="008E127E">
            <w:r>
              <w:t>-use special paper to accentuate location of letters, letter parts on lined paper or organizers</w:t>
            </w:r>
            <w:r>
              <w:br/>
              <w:t>-Teach, model, and practice color-coding text for organization</w:t>
            </w:r>
            <w:r>
              <w:br/>
            </w:r>
          </w:p>
        </w:tc>
        <w:tc>
          <w:tcPr>
            <w:tcW w:w="2340" w:type="dxa"/>
          </w:tcPr>
          <w:p w:rsidR="008E127E" w:rsidRDefault="008E127E">
            <w:r>
              <w:t>-Model use of graphic organizers and methods of taking ideas from text/graphic organizers and translating them into organized text/sentences</w:t>
            </w:r>
          </w:p>
        </w:tc>
        <w:tc>
          <w:tcPr>
            <w:tcW w:w="2340" w:type="dxa"/>
          </w:tcPr>
          <w:p w:rsidR="008E127E" w:rsidRDefault="008E127E" w:rsidP="008E127E">
            <w:r>
              <w:t>-allow/recommend use of a word processor or assistive technology</w:t>
            </w:r>
            <w:r>
              <w:br/>
              <w:t>-incorporate the use of graphic organizers</w:t>
            </w:r>
            <w:r>
              <w:br/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Attention Deficits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-use emotional hooks</w:t>
            </w:r>
            <w:r>
              <w:br/>
              <w:t>-procedural checklists</w:t>
            </w:r>
            <w:r>
              <w:br/>
              <w:t>-provide sequential instructions</w:t>
            </w:r>
            <w:r>
              <w:br/>
              <w:t>-use repetition of instructions and information</w:t>
            </w:r>
            <w:r>
              <w:br/>
            </w:r>
          </w:p>
        </w:tc>
        <w:tc>
          <w:tcPr>
            <w:tcW w:w="2250" w:type="dxa"/>
          </w:tcPr>
          <w:p w:rsidR="008E127E" w:rsidRDefault="008E127E">
            <w:r>
              <w:t>-allow “think-time” when responding to questions</w:t>
            </w:r>
          </w:p>
        </w:tc>
        <w:tc>
          <w:tcPr>
            <w:tcW w:w="2340" w:type="dxa"/>
          </w:tcPr>
          <w:p w:rsidR="008E127E" w:rsidRDefault="008E127E">
            <w:r>
              <w:t>-visual study aids</w:t>
            </w:r>
            <w:r>
              <w:br/>
              <w:t>-self-monitoring charts</w:t>
            </w:r>
            <w:r>
              <w:br/>
              <w:t>-self-talk strategies</w:t>
            </w:r>
            <w:r>
              <w:br/>
              <w:t>-use checklists and visual timers for self-monitoring</w:t>
            </w:r>
          </w:p>
        </w:tc>
        <w:tc>
          <w:tcPr>
            <w:tcW w:w="2340" w:type="dxa"/>
          </w:tcPr>
          <w:p w:rsidR="008E127E" w:rsidRDefault="008E127E">
            <w:r>
              <w:t>-model re-telling, paraphrasing, and summarizing</w:t>
            </w:r>
            <w:r>
              <w:br/>
              <w:t>-allow use for multimodal presentation of information</w:t>
            </w:r>
          </w:p>
        </w:tc>
        <w:tc>
          <w:tcPr>
            <w:tcW w:w="2340" w:type="dxa"/>
          </w:tcPr>
          <w:p w:rsidR="008E127E" w:rsidRDefault="008E127E">
            <w:r>
              <w:t>-break down large tasks into smaller chunks</w:t>
            </w:r>
            <w:r>
              <w:br/>
              <w:t>-provide opportunities for conferences and feedback</w:t>
            </w:r>
          </w:p>
        </w:tc>
      </w:tr>
      <w:tr w:rsidR="008E127E" w:rsidTr="008E127E">
        <w:trPr>
          <w:trHeight w:val="1691"/>
        </w:trPr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lastRenderedPageBreak/>
              <w:t>Expressive language Deficits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-use pictorial representations and visuals to support communication of information</w:t>
            </w:r>
            <w:r>
              <w:br/>
              <w:t>-teach vocabulary in context</w:t>
            </w:r>
          </w:p>
        </w:tc>
        <w:tc>
          <w:tcPr>
            <w:tcW w:w="2250" w:type="dxa"/>
          </w:tcPr>
          <w:p w:rsidR="008E127E" w:rsidRDefault="008E127E">
            <w:r>
              <w:t>-use sentence stems, “I knew __ was ___ because____”</w:t>
            </w:r>
            <w:r>
              <w:br/>
              <w:t>-provide pictures/symbols when communicating</w:t>
            </w:r>
            <w:r>
              <w:br/>
              <w:t>-pre-teach vocabulary</w:t>
            </w:r>
          </w:p>
        </w:tc>
        <w:tc>
          <w:tcPr>
            <w:tcW w:w="2340" w:type="dxa"/>
          </w:tcPr>
          <w:p w:rsidR="008E127E" w:rsidRDefault="008E127E">
            <w:r>
              <w:t>-Provide checklists to help students organize information or steps to completing an assignment</w:t>
            </w:r>
          </w:p>
        </w:tc>
        <w:tc>
          <w:tcPr>
            <w:tcW w:w="2340" w:type="dxa"/>
          </w:tcPr>
          <w:p w:rsidR="008E127E" w:rsidRDefault="008E127E" w:rsidP="008E127E">
            <w:r>
              <w:t>-model re-telling, paraphrasing, and summarizing</w:t>
            </w:r>
          </w:p>
          <w:p w:rsidR="008E127E" w:rsidRDefault="008E127E" w:rsidP="008E127E">
            <w:r>
              <w:t>-allow use for multimodal presentation of information</w:t>
            </w:r>
          </w:p>
        </w:tc>
        <w:tc>
          <w:tcPr>
            <w:tcW w:w="2340" w:type="dxa"/>
          </w:tcPr>
          <w:p w:rsidR="008E127E" w:rsidRDefault="008E127E">
            <w:r>
              <w:t>-use visual/graphics to group information and key concepts</w:t>
            </w:r>
            <w:r>
              <w:br/>
              <w:t>-explicitly teach common visual patterns within words</w:t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Receptive Language Deficits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-Model “think alouds”</w:t>
            </w:r>
            <w:r>
              <w:br/>
              <w:t>-provide repetition</w:t>
            </w:r>
            <w:r>
              <w:br/>
              <w:t>-paraphrase/summarize key points</w:t>
            </w:r>
          </w:p>
        </w:tc>
        <w:tc>
          <w:tcPr>
            <w:tcW w:w="2250" w:type="dxa"/>
          </w:tcPr>
          <w:p w:rsidR="008E127E" w:rsidRDefault="008E127E">
            <w:r>
              <w:t>-pre-teach vocabulary strategies</w:t>
            </w:r>
            <w:r>
              <w:br/>
              <w:t>-use visual/graphic organizers to group information/concepts</w:t>
            </w:r>
          </w:p>
        </w:tc>
        <w:tc>
          <w:tcPr>
            <w:tcW w:w="2340" w:type="dxa"/>
          </w:tcPr>
          <w:p w:rsidR="008E127E" w:rsidRDefault="008E127E">
            <w:r>
              <w:t xml:space="preserve">-generalize stategies to appropriate situations and reinforce </w:t>
            </w:r>
            <w:r>
              <w:br/>
              <w:t>-introduce menus and learning contracts that involve “choice” and student responsibility for learning</w:t>
            </w:r>
          </w:p>
        </w:tc>
        <w:tc>
          <w:tcPr>
            <w:tcW w:w="2340" w:type="dxa"/>
          </w:tcPr>
          <w:p w:rsidR="008E127E" w:rsidRDefault="008E127E">
            <w:r>
              <w:t xml:space="preserve">-generalize strategies to appropriate situations </w:t>
            </w:r>
            <w:r>
              <w:br/>
              <w:t>-repeat, summarize, and or paraphrase reading assignments</w:t>
            </w:r>
            <w:r>
              <w:br/>
              <w:t>-have students repeat directions</w:t>
            </w:r>
          </w:p>
        </w:tc>
        <w:tc>
          <w:tcPr>
            <w:tcW w:w="2340" w:type="dxa"/>
          </w:tcPr>
          <w:p w:rsidR="008E127E" w:rsidRDefault="008E127E">
            <w:r>
              <w:t>-provide information in multiple modalities</w:t>
            </w:r>
            <w:r>
              <w:br/>
              <w:t xml:space="preserve">-introduce menus and learning contracts that involve “choice” </w:t>
            </w:r>
          </w:p>
        </w:tc>
      </w:tr>
      <w:tr w:rsidR="008E127E" w:rsidTr="008E127E">
        <w:tc>
          <w:tcPr>
            <w:tcW w:w="1882" w:type="dxa"/>
          </w:tcPr>
          <w:p w:rsidR="008E127E" w:rsidRPr="008E5F9D" w:rsidRDefault="008E127E">
            <w:pPr>
              <w:rPr>
                <w:b/>
              </w:rPr>
            </w:pPr>
            <w:r w:rsidRPr="008E5F9D">
              <w:rPr>
                <w:b/>
              </w:rPr>
              <w:t>Executive Functioning</w:t>
            </w: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  <w:p w:rsidR="008E127E" w:rsidRPr="008E5F9D" w:rsidRDefault="008E127E">
            <w:pPr>
              <w:rPr>
                <w:b/>
              </w:rPr>
            </w:pPr>
          </w:p>
        </w:tc>
        <w:tc>
          <w:tcPr>
            <w:tcW w:w="2366" w:type="dxa"/>
          </w:tcPr>
          <w:p w:rsidR="008E127E" w:rsidRDefault="008E127E">
            <w:r>
              <w:t>-verbalize while solving problems and summarize at strategic points</w:t>
            </w:r>
          </w:p>
        </w:tc>
        <w:tc>
          <w:tcPr>
            <w:tcW w:w="2250" w:type="dxa"/>
          </w:tcPr>
          <w:p w:rsidR="008E127E" w:rsidRDefault="008E127E">
            <w:r>
              <w:t>-provide visual models</w:t>
            </w:r>
            <w:r>
              <w:br/>
              <w:t>-set goals and rate performance</w:t>
            </w:r>
            <w:r>
              <w:br/>
              <w:t>-verbalize while solving problems and summarize at strategic points</w:t>
            </w:r>
            <w:r>
              <w:br/>
              <w:t>-use tape recorder to record ideas</w:t>
            </w:r>
          </w:p>
        </w:tc>
        <w:tc>
          <w:tcPr>
            <w:tcW w:w="2340" w:type="dxa"/>
          </w:tcPr>
          <w:p w:rsidR="008E127E" w:rsidRDefault="008E127E">
            <w:r>
              <w:t>-have student specify when he/she will begin task</w:t>
            </w:r>
            <w:r>
              <w:br/>
              <w:t>-teach self-talk strategies</w:t>
            </w:r>
            <w:r>
              <w:br/>
              <w:t>-use incentive systems to reinforce independent initiation of tasks</w:t>
            </w:r>
            <w:r>
              <w:br/>
              <w:t>-note start and stop times when tasks are assigned/completed</w:t>
            </w:r>
          </w:p>
        </w:tc>
        <w:tc>
          <w:tcPr>
            <w:tcW w:w="2340" w:type="dxa"/>
          </w:tcPr>
          <w:p w:rsidR="008E127E" w:rsidRDefault="008E127E" w:rsidP="008E127E">
            <w:r>
              <w:t>-explicitly teach reading comprehension strategies (QAR, DBQ, etc.)</w:t>
            </w:r>
            <w:r>
              <w:br/>
              <w:t>-review prior knowledge before teaching new information</w:t>
            </w:r>
            <w:r>
              <w:br/>
              <w:t>-model self-monitoring strategies</w:t>
            </w:r>
            <w:r>
              <w:br/>
            </w:r>
          </w:p>
        </w:tc>
        <w:tc>
          <w:tcPr>
            <w:tcW w:w="2340" w:type="dxa"/>
          </w:tcPr>
          <w:p w:rsidR="008E127E" w:rsidRDefault="008E127E" w:rsidP="008E127E">
            <w:r>
              <w:t>-provide a stepwise plan to follow during informational, argumentative, or procedural writing assignments</w:t>
            </w:r>
            <w:r>
              <w:br/>
              <w:t>-model “Writing Process” strategies</w:t>
            </w:r>
            <w:r>
              <w:br/>
              <w:t xml:space="preserve">- </w:t>
            </w:r>
            <w:r w:rsidRPr="008E127E">
              <w:t>use proof-reading marks/strategies</w:t>
            </w:r>
            <w:r>
              <w:t xml:space="preserve"> (Capitalization, Organization, Punctuation, Structure-C.O.P.S.)</w:t>
            </w:r>
          </w:p>
        </w:tc>
      </w:tr>
    </w:tbl>
    <w:p w:rsidR="009F2651" w:rsidRDefault="009F2651">
      <w:pPr>
        <w:rPr>
          <w:b/>
        </w:rPr>
      </w:pPr>
    </w:p>
    <w:p w:rsidR="006D72D9" w:rsidRPr="006D72D9" w:rsidRDefault="006D72D9" w:rsidP="006D72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Adapted from: </w:t>
      </w:r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 xml:space="preserve">Silva, J. (2004). </w:t>
      </w:r>
      <w:proofErr w:type="gramStart"/>
      <w:r w:rsidRPr="006D72D9">
        <w:rPr>
          <w:rFonts w:ascii="Times New Roman" w:eastAsia="Times New Roman" w:hAnsi="Times New Roman" w:cs="Times New Roman"/>
          <w:b/>
          <w:i/>
          <w:sz w:val="16"/>
          <w:szCs w:val="16"/>
        </w:rPr>
        <w:t>Teaching Inclusive Mathematics to Special Learners K-6.</w:t>
      </w:r>
      <w:proofErr w:type="gramEnd"/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Thousand Oaks</w:t>
          </w:r>
        </w:smartTag>
        <w:r w:rsidRPr="006D72D9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CA</w:t>
          </w:r>
        </w:smartTag>
      </w:smartTag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>: Corwin Press.</w:t>
      </w:r>
    </w:p>
    <w:p w:rsidR="006D72D9" w:rsidRPr="006D72D9" w:rsidRDefault="006D72D9" w:rsidP="006D72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Thomlinson</w:t>
          </w:r>
        </w:smartTag>
        <w:proofErr w:type="spellEnd"/>
        <w:r w:rsidRPr="006D72D9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country-region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C.A.</w:t>
          </w:r>
        </w:smartTag>
      </w:smartTag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 xml:space="preserve">, (2007). </w:t>
      </w:r>
      <w:proofErr w:type="gramStart"/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>Maintaining Fidelity to the Model of Differentiation.</w:t>
      </w:r>
      <w:proofErr w:type="gramEnd"/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>ASCD Summer Conference on Differentiating Instruction.</w:t>
      </w:r>
      <w:proofErr w:type="gramEnd"/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Salt Lake City</w:t>
          </w:r>
        </w:smartTag>
        <w:r w:rsidRPr="006D72D9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6D72D9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Utah</w:t>
          </w:r>
        </w:smartTag>
      </w:smartTag>
      <w:r w:rsidRPr="006D72D9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6D72D9" w:rsidRPr="009F2651" w:rsidRDefault="006D72D9">
      <w:pPr>
        <w:rPr>
          <w:b/>
        </w:rPr>
      </w:pPr>
    </w:p>
    <w:sectPr w:rsidR="006D72D9" w:rsidRPr="009F2651" w:rsidSect="00A3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6" w:rsidRDefault="00D42356" w:rsidP="000C03F2">
      <w:pPr>
        <w:spacing w:after="0" w:line="240" w:lineRule="auto"/>
      </w:pPr>
      <w:r>
        <w:separator/>
      </w:r>
    </w:p>
  </w:endnote>
  <w:endnote w:type="continuationSeparator" w:id="0">
    <w:p w:rsidR="00D42356" w:rsidRDefault="00D42356" w:rsidP="000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1C" w:rsidRDefault="000E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0E4F1C">
      <w:tc>
        <w:tcPr>
          <w:tcW w:w="4500" w:type="pct"/>
          <w:tcBorders>
            <w:top w:val="single" w:sz="4" w:space="0" w:color="000000" w:themeColor="text1"/>
          </w:tcBorders>
        </w:tcPr>
        <w:p w:rsidR="000E4F1C" w:rsidRDefault="000E4F1C" w:rsidP="000E4F1C">
          <w:pPr>
            <w:pStyle w:val="Footer"/>
          </w:pPr>
          <w:r>
            <w:t>Processing Deficit Matrix Chart: Cobb County IEPS ©2013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E4F1C" w:rsidRDefault="000E4F1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E4F1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610A8" w:rsidRDefault="003610A8" w:rsidP="003610A8">
    <w:pPr>
      <w:pStyle w:val="Footer"/>
      <w:ind w:left="648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1C" w:rsidRDefault="000E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6" w:rsidRDefault="00D42356" w:rsidP="000C03F2">
      <w:pPr>
        <w:spacing w:after="0" w:line="240" w:lineRule="auto"/>
      </w:pPr>
      <w:r>
        <w:separator/>
      </w:r>
    </w:p>
  </w:footnote>
  <w:footnote w:type="continuationSeparator" w:id="0">
    <w:p w:rsidR="00D42356" w:rsidRDefault="00D42356" w:rsidP="000C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1C" w:rsidRDefault="000E4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1C" w:rsidRDefault="000E4F1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1C" w:rsidRDefault="000E4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7"/>
    <w:rsid w:val="00012077"/>
    <w:rsid w:val="00013812"/>
    <w:rsid w:val="00021D81"/>
    <w:rsid w:val="00024E8B"/>
    <w:rsid w:val="000307BB"/>
    <w:rsid w:val="000321B7"/>
    <w:rsid w:val="000321CE"/>
    <w:rsid w:val="00032658"/>
    <w:rsid w:val="00032B79"/>
    <w:rsid w:val="0003324B"/>
    <w:rsid w:val="00036219"/>
    <w:rsid w:val="00044278"/>
    <w:rsid w:val="00056C83"/>
    <w:rsid w:val="00062FCC"/>
    <w:rsid w:val="0006795D"/>
    <w:rsid w:val="00097355"/>
    <w:rsid w:val="000A6CE0"/>
    <w:rsid w:val="000B3444"/>
    <w:rsid w:val="000B3807"/>
    <w:rsid w:val="000B4A38"/>
    <w:rsid w:val="000C03F2"/>
    <w:rsid w:val="000C1120"/>
    <w:rsid w:val="000C5AF8"/>
    <w:rsid w:val="000D6844"/>
    <w:rsid w:val="000E4F1C"/>
    <w:rsid w:val="000E5BC2"/>
    <w:rsid w:val="000F67BD"/>
    <w:rsid w:val="001041FB"/>
    <w:rsid w:val="001124D2"/>
    <w:rsid w:val="001143A7"/>
    <w:rsid w:val="00116247"/>
    <w:rsid w:val="00120116"/>
    <w:rsid w:val="00121205"/>
    <w:rsid w:val="001265B7"/>
    <w:rsid w:val="0012748F"/>
    <w:rsid w:val="00134549"/>
    <w:rsid w:val="0014401F"/>
    <w:rsid w:val="00153987"/>
    <w:rsid w:val="00153E02"/>
    <w:rsid w:val="00156497"/>
    <w:rsid w:val="00157DDD"/>
    <w:rsid w:val="001633BE"/>
    <w:rsid w:val="00167576"/>
    <w:rsid w:val="00177E79"/>
    <w:rsid w:val="00181CD8"/>
    <w:rsid w:val="001928C9"/>
    <w:rsid w:val="001934E9"/>
    <w:rsid w:val="001B2B91"/>
    <w:rsid w:val="001C0954"/>
    <w:rsid w:val="001C1C94"/>
    <w:rsid w:val="001D1C9C"/>
    <w:rsid w:val="001E2C0D"/>
    <w:rsid w:val="001E7955"/>
    <w:rsid w:val="001F5B05"/>
    <w:rsid w:val="00203F91"/>
    <w:rsid w:val="00204AB7"/>
    <w:rsid w:val="00212768"/>
    <w:rsid w:val="00225243"/>
    <w:rsid w:val="00242112"/>
    <w:rsid w:val="00244354"/>
    <w:rsid w:val="0026152B"/>
    <w:rsid w:val="002621A9"/>
    <w:rsid w:val="00265CE2"/>
    <w:rsid w:val="00275832"/>
    <w:rsid w:val="00281707"/>
    <w:rsid w:val="00285E52"/>
    <w:rsid w:val="002B4877"/>
    <w:rsid w:val="002B68A0"/>
    <w:rsid w:val="002C13D0"/>
    <w:rsid w:val="002D4C29"/>
    <w:rsid w:val="002D5823"/>
    <w:rsid w:val="002D64F2"/>
    <w:rsid w:val="002E161C"/>
    <w:rsid w:val="002E2FCD"/>
    <w:rsid w:val="002E7954"/>
    <w:rsid w:val="002F0CE2"/>
    <w:rsid w:val="00300A73"/>
    <w:rsid w:val="00301A72"/>
    <w:rsid w:val="00302B40"/>
    <w:rsid w:val="00303BE5"/>
    <w:rsid w:val="003044B8"/>
    <w:rsid w:val="0030658D"/>
    <w:rsid w:val="0031486F"/>
    <w:rsid w:val="0035281C"/>
    <w:rsid w:val="0035601C"/>
    <w:rsid w:val="00360335"/>
    <w:rsid w:val="003610A8"/>
    <w:rsid w:val="003636E5"/>
    <w:rsid w:val="00365732"/>
    <w:rsid w:val="00371609"/>
    <w:rsid w:val="00377E53"/>
    <w:rsid w:val="0038136F"/>
    <w:rsid w:val="00381C40"/>
    <w:rsid w:val="00386942"/>
    <w:rsid w:val="00391380"/>
    <w:rsid w:val="00391509"/>
    <w:rsid w:val="003976A8"/>
    <w:rsid w:val="003A02C3"/>
    <w:rsid w:val="003A263B"/>
    <w:rsid w:val="003C16AD"/>
    <w:rsid w:val="003C18AC"/>
    <w:rsid w:val="003C685E"/>
    <w:rsid w:val="003D3913"/>
    <w:rsid w:val="003D6CFE"/>
    <w:rsid w:val="003E201E"/>
    <w:rsid w:val="003E326A"/>
    <w:rsid w:val="003E7347"/>
    <w:rsid w:val="003F5CE5"/>
    <w:rsid w:val="0040667C"/>
    <w:rsid w:val="0042358E"/>
    <w:rsid w:val="004271B3"/>
    <w:rsid w:val="00440311"/>
    <w:rsid w:val="0047185E"/>
    <w:rsid w:val="00472A3D"/>
    <w:rsid w:val="0047610A"/>
    <w:rsid w:val="00481846"/>
    <w:rsid w:val="00481BB2"/>
    <w:rsid w:val="00482380"/>
    <w:rsid w:val="00484E6A"/>
    <w:rsid w:val="00485539"/>
    <w:rsid w:val="0048722C"/>
    <w:rsid w:val="00487FB2"/>
    <w:rsid w:val="004920EE"/>
    <w:rsid w:val="0049577E"/>
    <w:rsid w:val="00495E6A"/>
    <w:rsid w:val="004A6CDF"/>
    <w:rsid w:val="004B252D"/>
    <w:rsid w:val="004B431E"/>
    <w:rsid w:val="004B459F"/>
    <w:rsid w:val="004D1090"/>
    <w:rsid w:val="004D1238"/>
    <w:rsid w:val="004E0BB4"/>
    <w:rsid w:val="004E2756"/>
    <w:rsid w:val="004F1773"/>
    <w:rsid w:val="004F5414"/>
    <w:rsid w:val="00514222"/>
    <w:rsid w:val="00526AC8"/>
    <w:rsid w:val="00532DB9"/>
    <w:rsid w:val="00533A43"/>
    <w:rsid w:val="00534960"/>
    <w:rsid w:val="005420AC"/>
    <w:rsid w:val="00551655"/>
    <w:rsid w:val="00557A61"/>
    <w:rsid w:val="00564408"/>
    <w:rsid w:val="00565690"/>
    <w:rsid w:val="00576459"/>
    <w:rsid w:val="0059029C"/>
    <w:rsid w:val="00592503"/>
    <w:rsid w:val="005948B0"/>
    <w:rsid w:val="0059528E"/>
    <w:rsid w:val="005B0197"/>
    <w:rsid w:val="005B347C"/>
    <w:rsid w:val="005B733E"/>
    <w:rsid w:val="005C5898"/>
    <w:rsid w:val="005D56FB"/>
    <w:rsid w:val="005E26C5"/>
    <w:rsid w:val="005F7A37"/>
    <w:rsid w:val="00601648"/>
    <w:rsid w:val="00602824"/>
    <w:rsid w:val="006044EA"/>
    <w:rsid w:val="00604730"/>
    <w:rsid w:val="0060648F"/>
    <w:rsid w:val="0060772B"/>
    <w:rsid w:val="00612B49"/>
    <w:rsid w:val="006251BD"/>
    <w:rsid w:val="00631375"/>
    <w:rsid w:val="00632903"/>
    <w:rsid w:val="0063589B"/>
    <w:rsid w:val="00646104"/>
    <w:rsid w:val="00655F55"/>
    <w:rsid w:val="006565C4"/>
    <w:rsid w:val="00661D0C"/>
    <w:rsid w:val="00696ED7"/>
    <w:rsid w:val="006A551D"/>
    <w:rsid w:val="006B1D15"/>
    <w:rsid w:val="006B79D0"/>
    <w:rsid w:val="006C0CAE"/>
    <w:rsid w:val="006D72D9"/>
    <w:rsid w:val="006D7348"/>
    <w:rsid w:val="006E3AAA"/>
    <w:rsid w:val="006E757C"/>
    <w:rsid w:val="006E794E"/>
    <w:rsid w:val="00705082"/>
    <w:rsid w:val="00713F32"/>
    <w:rsid w:val="00715D20"/>
    <w:rsid w:val="00723B2A"/>
    <w:rsid w:val="00725ED2"/>
    <w:rsid w:val="00735FC4"/>
    <w:rsid w:val="007420F5"/>
    <w:rsid w:val="00750366"/>
    <w:rsid w:val="00753E20"/>
    <w:rsid w:val="00754506"/>
    <w:rsid w:val="00761ECE"/>
    <w:rsid w:val="00766219"/>
    <w:rsid w:val="007663BD"/>
    <w:rsid w:val="00773E1F"/>
    <w:rsid w:val="00777093"/>
    <w:rsid w:val="00785F46"/>
    <w:rsid w:val="00786C4A"/>
    <w:rsid w:val="007873AC"/>
    <w:rsid w:val="00794ABC"/>
    <w:rsid w:val="00796307"/>
    <w:rsid w:val="007A0CD3"/>
    <w:rsid w:val="007A1B0C"/>
    <w:rsid w:val="007A1FBF"/>
    <w:rsid w:val="007A2F0E"/>
    <w:rsid w:val="007A5382"/>
    <w:rsid w:val="007A6CB8"/>
    <w:rsid w:val="007C0229"/>
    <w:rsid w:val="007C0C40"/>
    <w:rsid w:val="007C7969"/>
    <w:rsid w:val="007D5EAC"/>
    <w:rsid w:val="007E2737"/>
    <w:rsid w:val="007E3F20"/>
    <w:rsid w:val="007E5FA0"/>
    <w:rsid w:val="007E610E"/>
    <w:rsid w:val="007E7A50"/>
    <w:rsid w:val="007F1E5C"/>
    <w:rsid w:val="007F25DE"/>
    <w:rsid w:val="007F5733"/>
    <w:rsid w:val="00811E0F"/>
    <w:rsid w:val="00824BB4"/>
    <w:rsid w:val="00826038"/>
    <w:rsid w:val="00834576"/>
    <w:rsid w:val="008438A2"/>
    <w:rsid w:val="00843E17"/>
    <w:rsid w:val="00850B51"/>
    <w:rsid w:val="00860DE1"/>
    <w:rsid w:val="00866DD6"/>
    <w:rsid w:val="0089584D"/>
    <w:rsid w:val="008A1128"/>
    <w:rsid w:val="008A43B1"/>
    <w:rsid w:val="008B34EA"/>
    <w:rsid w:val="008B69CE"/>
    <w:rsid w:val="008C0A78"/>
    <w:rsid w:val="008C4D74"/>
    <w:rsid w:val="008C6944"/>
    <w:rsid w:val="008E127E"/>
    <w:rsid w:val="008E3086"/>
    <w:rsid w:val="008E3D5A"/>
    <w:rsid w:val="008E5F9D"/>
    <w:rsid w:val="008F339D"/>
    <w:rsid w:val="008F3B5A"/>
    <w:rsid w:val="008F3D42"/>
    <w:rsid w:val="0090728F"/>
    <w:rsid w:val="00911239"/>
    <w:rsid w:val="00912B4A"/>
    <w:rsid w:val="00916F57"/>
    <w:rsid w:val="009233E6"/>
    <w:rsid w:val="009308ED"/>
    <w:rsid w:val="00931689"/>
    <w:rsid w:val="00931DA2"/>
    <w:rsid w:val="00934EC5"/>
    <w:rsid w:val="009370C8"/>
    <w:rsid w:val="00953110"/>
    <w:rsid w:val="009572A5"/>
    <w:rsid w:val="009776B2"/>
    <w:rsid w:val="009904D6"/>
    <w:rsid w:val="009A2642"/>
    <w:rsid w:val="009B037A"/>
    <w:rsid w:val="009B0E5E"/>
    <w:rsid w:val="009B170D"/>
    <w:rsid w:val="009B625E"/>
    <w:rsid w:val="009B75A3"/>
    <w:rsid w:val="009C048A"/>
    <w:rsid w:val="009C7115"/>
    <w:rsid w:val="009D69D5"/>
    <w:rsid w:val="009D69EE"/>
    <w:rsid w:val="009E2CCB"/>
    <w:rsid w:val="009E39AB"/>
    <w:rsid w:val="009E7A53"/>
    <w:rsid w:val="009F0423"/>
    <w:rsid w:val="009F078A"/>
    <w:rsid w:val="009F2651"/>
    <w:rsid w:val="009F3E19"/>
    <w:rsid w:val="00A05253"/>
    <w:rsid w:val="00A21A94"/>
    <w:rsid w:val="00A31CC7"/>
    <w:rsid w:val="00A3441D"/>
    <w:rsid w:val="00A35B6A"/>
    <w:rsid w:val="00A36B27"/>
    <w:rsid w:val="00A402FA"/>
    <w:rsid w:val="00A44AB3"/>
    <w:rsid w:val="00A4674C"/>
    <w:rsid w:val="00A53A37"/>
    <w:rsid w:val="00A56F00"/>
    <w:rsid w:val="00A63021"/>
    <w:rsid w:val="00A63254"/>
    <w:rsid w:val="00A675A1"/>
    <w:rsid w:val="00A710A7"/>
    <w:rsid w:val="00A758D6"/>
    <w:rsid w:val="00A769C6"/>
    <w:rsid w:val="00A80878"/>
    <w:rsid w:val="00A90208"/>
    <w:rsid w:val="00A95614"/>
    <w:rsid w:val="00AA3B63"/>
    <w:rsid w:val="00AA4608"/>
    <w:rsid w:val="00AD0C69"/>
    <w:rsid w:val="00AD4DDA"/>
    <w:rsid w:val="00AD5339"/>
    <w:rsid w:val="00AE0781"/>
    <w:rsid w:val="00AE1EB2"/>
    <w:rsid w:val="00AE28B2"/>
    <w:rsid w:val="00AE4BF1"/>
    <w:rsid w:val="00B062B1"/>
    <w:rsid w:val="00B146DC"/>
    <w:rsid w:val="00B32A7D"/>
    <w:rsid w:val="00B408A3"/>
    <w:rsid w:val="00B529BE"/>
    <w:rsid w:val="00B57A7B"/>
    <w:rsid w:val="00B60462"/>
    <w:rsid w:val="00B6165C"/>
    <w:rsid w:val="00B64BE7"/>
    <w:rsid w:val="00B66E35"/>
    <w:rsid w:val="00B75898"/>
    <w:rsid w:val="00B805CC"/>
    <w:rsid w:val="00B82633"/>
    <w:rsid w:val="00B946E3"/>
    <w:rsid w:val="00BA4F7E"/>
    <w:rsid w:val="00BB539E"/>
    <w:rsid w:val="00BB5449"/>
    <w:rsid w:val="00BC0593"/>
    <w:rsid w:val="00BC2A86"/>
    <w:rsid w:val="00BC3D11"/>
    <w:rsid w:val="00BE6708"/>
    <w:rsid w:val="00BF2815"/>
    <w:rsid w:val="00BF3D20"/>
    <w:rsid w:val="00BF52C9"/>
    <w:rsid w:val="00BF68FF"/>
    <w:rsid w:val="00C04A5B"/>
    <w:rsid w:val="00C04A99"/>
    <w:rsid w:val="00C26662"/>
    <w:rsid w:val="00C374A0"/>
    <w:rsid w:val="00C43991"/>
    <w:rsid w:val="00C476A0"/>
    <w:rsid w:val="00C52ABA"/>
    <w:rsid w:val="00C53484"/>
    <w:rsid w:val="00C63543"/>
    <w:rsid w:val="00C72DD8"/>
    <w:rsid w:val="00C82A0D"/>
    <w:rsid w:val="00C84A63"/>
    <w:rsid w:val="00C87E26"/>
    <w:rsid w:val="00C909E2"/>
    <w:rsid w:val="00C96B51"/>
    <w:rsid w:val="00CB44F5"/>
    <w:rsid w:val="00CC306B"/>
    <w:rsid w:val="00CC58CC"/>
    <w:rsid w:val="00CD4F8D"/>
    <w:rsid w:val="00CD60F9"/>
    <w:rsid w:val="00CE7034"/>
    <w:rsid w:val="00CE7F8F"/>
    <w:rsid w:val="00CF5006"/>
    <w:rsid w:val="00CF7E5A"/>
    <w:rsid w:val="00D0141E"/>
    <w:rsid w:val="00D02CF9"/>
    <w:rsid w:val="00D27E7E"/>
    <w:rsid w:val="00D30D13"/>
    <w:rsid w:val="00D42356"/>
    <w:rsid w:val="00D43F39"/>
    <w:rsid w:val="00D47CF7"/>
    <w:rsid w:val="00D57537"/>
    <w:rsid w:val="00D57621"/>
    <w:rsid w:val="00D7437C"/>
    <w:rsid w:val="00D75F2F"/>
    <w:rsid w:val="00D8565C"/>
    <w:rsid w:val="00D87088"/>
    <w:rsid w:val="00D903A2"/>
    <w:rsid w:val="00D93257"/>
    <w:rsid w:val="00D945A4"/>
    <w:rsid w:val="00DA1074"/>
    <w:rsid w:val="00DA1950"/>
    <w:rsid w:val="00DA6ACD"/>
    <w:rsid w:val="00DB0DE5"/>
    <w:rsid w:val="00DB56B8"/>
    <w:rsid w:val="00DC0B8B"/>
    <w:rsid w:val="00DC14A7"/>
    <w:rsid w:val="00DC2034"/>
    <w:rsid w:val="00DC5580"/>
    <w:rsid w:val="00DC6B47"/>
    <w:rsid w:val="00DD20A3"/>
    <w:rsid w:val="00DD56D6"/>
    <w:rsid w:val="00DE068D"/>
    <w:rsid w:val="00DE391F"/>
    <w:rsid w:val="00DE43C8"/>
    <w:rsid w:val="00DE5DDC"/>
    <w:rsid w:val="00DF6795"/>
    <w:rsid w:val="00E1766B"/>
    <w:rsid w:val="00E333F3"/>
    <w:rsid w:val="00E51198"/>
    <w:rsid w:val="00E54D53"/>
    <w:rsid w:val="00E60F16"/>
    <w:rsid w:val="00E61A8A"/>
    <w:rsid w:val="00E660D9"/>
    <w:rsid w:val="00E6706A"/>
    <w:rsid w:val="00E761C1"/>
    <w:rsid w:val="00E76A5F"/>
    <w:rsid w:val="00E90C13"/>
    <w:rsid w:val="00E96A54"/>
    <w:rsid w:val="00E97172"/>
    <w:rsid w:val="00EA55BB"/>
    <w:rsid w:val="00EB11A1"/>
    <w:rsid w:val="00EB1E0C"/>
    <w:rsid w:val="00EB2F91"/>
    <w:rsid w:val="00EB4C35"/>
    <w:rsid w:val="00EC606F"/>
    <w:rsid w:val="00EC7954"/>
    <w:rsid w:val="00EE1BCF"/>
    <w:rsid w:val="00EE5085"/>
    <w:rsid w:val="00EF76D2"/>
    <w:rsid w:val="00F02EFC"/>
    <w:rsid w:val="00F07CEA"/>
    <w:rsid w:val="00F173B4"/>
    <w:rsid w:val="00F21A9F"/>
    <w:rsid w:val="00F259B6"/>
    <w:rsid w:val="00F3464E"/>
    <w:rsid w:val="00F40114"/>
    <w:rsid w:val="00F40A48"/>
    <w:rsid w:val="00F4172A"/>
    <w:rsid w:val="00F518B7"/>
    <w:rsid w:val="00F5228C"/>
    <w:rsid w:val="00F53BDF"/>
    <w:rsid w:val="00F65B82"/>
    <w:rsid w:val="00F72A46"/>
    <w:rsid w:val="00F72EBC"/>
    <w:rsid w:val="00F74161"/>
    <w:rsid w:val="00F772C0"/>
    <w:rsid w:val="00F80C23"/>
    <w:rsid w:val="00F84D9D"/>
    <w:rsid w:val="00F84E37"/>
    <w:rsid w:val="00F9633F"/>
    <w:rsid w:val="00FA193F"/>
    <w:rsid w:val="00FB03B5"/>
    <w:rsid w:val="00FC2455"/>
    <w:rsid w:val="00FC2BF7"/>
    <w:rsid w:val="00FC6157"/>
    <w:rsid w:val="00FC6AD0"/>
    <w:rsid w:val="00FD2C3E"/>
    <w:rsid w:val="00FE3666"/>
    <w:rsid w:val="00FE703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2"/>
  </w:style>
  <w:style w:type="paragraph" w:styleId="Footer">
    <w:name w:val="footer"/>
    <w:basedOn w:val="Normal"/>
    <w:link w:val="FooterChar"/>
    <w:uiPriority w:val="99"/>
    <w:unhideWhenUsed/>
    <w:rsid w:val="000C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2"/>
  </w:style>
  <w:style w:type="paragraph" w:styleId="ListParagraph">
    <w:name w:val="List Paragraph"/>
    <w:basedOn w:val="Normal"/>
    <w:uiPriority w:val="34"/>
    <w:qFormat/>
    <w:rsid w:val="008E1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2"/>
  </w:style>
  <w:style w:type="paragraph" w:styleId="Footer">
    <w:name w:val="footer"/>
    <w:basedOn w:val="Normal"/>
    <w:link w:val="FooterChar"/>
    <w:uiPriority w:val="99"/>
    <w:unhideWhenUsed/>
    <w:rsid w:val="000C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2"/>
  </w:style>
  <w:style w:type="paragraph" w:styleId="ListParagraph">
    <w:name w:val="List Paragraph"/>
    <w:basedOn w:val="Normal"/>
    <w:uiPriority w:val="34"/>
    <w:qFormat/>
    <w:rsid w:val="008E1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33FB24B9-F8CF-4B93-91C9-F67445EFDD64}"/>
</file>

<file path=customXml/itemProps2.xml><?xml version="1.0" encoding="utf-8"?>
<ds:datastoreItem xmlns:ds="http://schemas.openxmlformats.org/officeDocument/2006/customXml" ds:itemID="{21C9A692-A8D6-4798-9E73-2DEF712319D2}"/>
</file>

<file path=customXml/itemProps3.xml><?xml version="1.0" encoding="utf-8"?>
<ds:datastoreItem xmlns:ds="http://schemas.openxmlformats.org/officeDocument/2006/customXml" ds:itemID="{BA64CF7E-C4F9-42EA-925D-887078FED2D5}"/>
</file>

<file path=customXml/itemProps4.xml><?xml version="1.0" encoding="utf-8"?>
<ds:datastoreItem xmlns:ds="http://schemas.openxmlformats.org/officeDocument/2006/customXml" ds:itemID="{5511351E-6D9F-4069-B70E-9F7EAA52C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Mccomas</dc:creator>
  <cp:lastModifiedBy>Melissa Lummis</cp:lastModifiedBy>
  <cp:revision>3</cp:revision>
  <cp:lastPrinted>2014-01-02T18:40:00Z</cp:lastPrinted>
  <dcterms:created xsi:type="dcterms:W3CDTF">2014-03-07T14:32:00Z</dcterms:created>
  <dcterms:modified xsi:type="dcterms:W3CDTF">2014-03-11T12:44:00Z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