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A9" w:rsidRPr="00BB69C2" w:rsidRDefault="000F40A9" w:rsidP="000F40A9">
      <w:pPr>
        <w:pStyle w:val="Header"/>
        <w:rPr>
          <w:b/>
        </w:rPr>
      </w:pPr>
      <w:bookmarkStart w:id="0" w:name="_Toc168373122"/>
      <w:bookmarkStart w:id="1" w:name="_Toc229890038"/>
    </w:p>
    <w:p w:rsidR="000F40A9" w:rsidRPr="005D772D" w:rsidRDefault="000F40A9" w:rsidP="000F40A9">
      <w:pPr>
        <w:tabs>
          <w:tab w:val="left" w:pos="9090"/>
        </w:tabs>
        <w:ind w:right="-738"/>
        <w:rPr>
          <w:sz w:val="16"/>
          <w:szCs w:val="16"/>
          <w:u w:val="single"/>
        </w:rPr>
      </w:pPr>
      <w:r w:rsidRPr="00023F07">
        <w:rPr>
          <w:sz w:val="16"/>
          <w:szCs w:val="16"/>
        </w:rPr>
        <w:t>DISTRICT:</w:t>
      </w:r>
      <w:r w:rsidR="009D36EC">
        <w:rPr>
          <w:sz w:val="16"/>
          <w:szCs w:val="16"/>
          <w:u w:val="single"/>
        </w:rPr>
        <w:t xml:space="preserve"> </w:t>
      </w:r>
      <w:r w:rsidRPr="00023F07">
        <w:rPr>
          <w:sz w:val="16"/>
          <w:szCs w:val="16"/>
          <w:u w:val="single"/>
        </w:rPr>
        <w:t>_</w:t>
      </w:r>
      <w:r w:rsidR="005915EC" w:rsidRPr="00023F07">
        <w:rPr>
          <w:sz w:val="16"/>
          <w:szCs w:val="16"/>
          <w:u w:val="single"/>
        </w:rPr>
        <w:t>___________</w:t>
      </w:r>
      <w:r w:rsidR="00023F07" w:rsidRPr="00023F07">
        <w:rPr>
          <w:sz w:val="16"/>
          <w:szCs w:val="16"/>
          <w:u w:val="single"/>
        </w:rPr>
        <w:t xml:space="preserve">___________ </w:t>
      </w:r>
      <w:r w:rsidR="00023F07" w:rsidRPr="008871CB">
        <w:rPr>
          <w:sz w:val="16"/>
          <w:szCs w:val="16"/>
        </w:rPr>
        <w:t>Superintendent</w:t>
      </w:r>
      <w:r w:rsidR="009D36EC" w:rsidRPr="008871CB">
        <w:rPr>
          <w:sz w:val="16"/>
          <w:szCs w:val="16"/>
        </w:rPr>
        <w:t>:</w:t>
      </w:r>
      <w:r w:rsidR="00023F07" w:rsidRPr="008871CB">
        <w:rPr>
          <w:sz w:val="16"/>
          <w:szCs w:val="16"/>
        </w:rPr>
        <w:t xml:space="preserve"> _________________________ Title I Director</w:t>
      </w:r>
      <w:r w:rsidR="009D36EC" w:rsidRPr="008871CB">
        <w:rPr>
          <w:sz w:val="16"/>
          <w:szCs w:val="16"/>
        </w:rPr>
        <w:t>:</w:t>
      </w:r>
      <w:r w:rsidR="00023F07" w:rsidRPr="008871CB">
        <w:rPr>
          <w:sz w:val="16"/>
          <w:szCs w:val="16"/>
        </w:rPr>
        <w:t xml:space="preserve"> </w:t>
      </w:r>
      <w:r w:rsidR="00023F07" w:rsidRPr="008871CB">
        <w:rPr>
          <w:sz w:val="16"/>
          <w:szCs w:val="16"/>
          <w:u w:val="single"/>
        </w:rPr>
        <w:t>___________________</w:t>
      </w:r>
      <w:r w:rsidR="009D36EC" w:rsidRPr="008871CB">
        <w:rPr>
          <w:sz w:val="16"/>
          <w:szCs w:val="16"/>
          <w:u w:val="single"/>
        </w:rPr>
        <w:t>_____</w:t>
      </w:r>
      <w:r w:rsidR="009D36EC">
        <w:rPr>
          <w:sz w:val="16"/>
          <w:szCs w:val="16"/>
        </w:rPr>
        <w:t xml:space="preserve">    </w:t>
      </w:r>
      <w:r>
        <w:rPr>
          <w:sz w:val="16"/>
          <w:szCs w:val="16"/>
        </w:rPr>
        <w:t>FY: 2016</w:t>
      </w:r>
    </w:p>
    <w:p w:rsidR="000F40A9" w:rsidRPr="00BB69C2" w:rsidRDefault="000F40A9" w:rsidP="000F40A9">
      <w:pPr>
        <w:ind w:right="-288"/>
        <w:rPr>
          <w:i/>
          <w:sz w:val="16"/>
          <w:szCs w:val="16"/>
        </w:rPr>
      </w:pPr>
      <w:r w:rsidRPr="00BB69C2">
        <w:rPr>
          <w:i/>
          <w:sz w:val="16"/>
          <w:szCs w:val="16"/>
        </w:rPr>
        <w:t>This checklist is used by the Georgia Department of Education (</w:t>
      </w:r>
      <w:r>
        <w:rPr>
          <w:i/>
          <w:sz w:val="16"/>
          <w:szCs w:val="16"/>
        </w:rPr>
        <w:t>Department</w:t>
      </w:r>
      <w:r w:rsidRPr="00BB69C2">
        <w:rPr>
          <w:i/>
          <w:sz w:val="16"/>
          <w:szCs w:val="16"/>
        </w:rPr>
        <w:t>) to ensure that Title I, Part A</w:t>
      </w:r>
      <w:r>
        <w:rPr>
          <w:i/>
          <w:sz w:val="16"/>
          <w:szCs w:val="16"/>
        </w:rPr>
        <w:t xml:space="preserve"> a</w:t>
      </w:r>
      <w:r w:rsidRPr="00BB69C2">
        <w:rPr>
          <w:i/>
          <w:sz w:val="16"/>
          <w:szCs w:val="16"/>
        </w:rPr>
        <w:t>pplications are evaluated consistently before approval.</w:t>
      </w:r>
    </w:p>
    <w:tbl>
      <w:tblPr>
        <w:tblW w:w="9836" w:type="dxa"/>
        <w:tblInd w:w="82" w:type="dxa"/>
        <w:tblLook w:val="04A0" w:firstRow="1" w:lastRow="0" w:firstColumn="1" w:lastColumn="0" w:noHBand="0" w:noVBand="1"/>
      </w:tblPr>
      <w:tblGrid>
        <w:gridCol w:w="514"/>
        <w:gridCol w:w="476"/>
        <w:gridCol w:w="481"/>
        <w:gridCol w:w="8365"/>
      </w:tblGrid>
      <w:tr w:rsidR="000F40A9" w:rsidRPr="00BB69C2" w:rsidTr="00313EC1">
        <w:trPr>
          <w:trHeight w:val="264"/>
        </w:trPr>
        <w:tc>
          <w:tcPr>
            <w:tcW w:w="5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40A9" w:rsidRDefault="000F40A9" w:rsidP="00313EC1">
            <w:pPr>
              <w:spacing w:after="0"/>
              <w:rPr>
                <w:rFonts w:eastAsia="Times New Roman"/>
                <w:b/>
                <w:bCs/>
                <w:sz w:val="16"/>
                <w:szCs w:val="16"/>
              </w:rPr>
            </w:pPr>
            <w:r w:rsidRPr="00BB69C2">
              <w:rPr>
                <w:rFonts w:eastAsia="Times New Roman"/>
                <w:b/>
                <w:bCs/>
                <w:sz w:val="16"/>
                <w:szCs w:val="16"/>
              </w:rPr>
              <w:t>Yes</w:t>
            </w:r>
          </w:p>
        </w:tc>
        <w:tc>
          <w:tcPr>
            <w:tcW w:w="47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b/>
                <w:bCs/>
                <w:sz w:val="16"/>
                <w:szCs w:val="16"/>
              </w:rPr>
            </w:pPr>
            <w:r w:rsidRPr="00BB69C2">
              <w:rPr>
                <w:rFonts w:eastAsia="Times New Roman"/>
                <w:b/>
                <w:bCs/>
                <w:sz w:val="16"/>
                <w:szCs w:val="16"/>
              </w:rPr>
              <w:t>NA</w:t>
            </w:r>
          </w:p>
        </w:tc>
        <w:tc>
          <w:tcPr>
            <w:tcW w:w="481" w:type="dxa"/>
            <w:tcBorders>
              <w:top w:val="single" w:sz="4" w:space="0" w:color="auto"/>
              <w:left w:val="nil"/>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b/>
                <w:bCs/>
                <w:sz w:val="16"/>
                <w:szCs w:val="16"/>
              </w:rPr>
            </w:pP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 xml:space="preserve">  </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A review of the audit report from school food nutrition (S</w:t>
            </w:r>
            <w:r>
              <w:rPr>
                <w:rFonts w:eastAsia="Times New Roman"/>
                <w:b/>
                <w:bCs/>
                <w:sz w:val="16"/>
                <w:szCs w:val="16"/>
              </w:rPr>
              <w:t>FN) has been done by the Title Programs Education Program S</w:t>
            </w:r>
            <w:r w:rsidRPr="00BB69C2">
              <w:rPr>
                <w:rFonts w:eastAsia="Times New Roman"/>
                <w:b/>
                <w:bCs/>
                <w:sz w:val="16"/>
                <w:szCs w:val="16"/>
              </w:rPr>
              <w:t xml:space="preserve">pecialist prior to the approval of any </w:t>
            </w:r>
            <w:r>
              <w:rPr>
                <w:rFonts w:eastAsia="Times New Roman"/>
                <w:b/>
                <w:bCs/>
                <w:sz w:val="16"/>
                <w:szCs w:val="16"/>
              </w:rPr>
              <w:t>consolidated application</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Coordination Tab</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Status boxes checked (if applicable) and number identified completed (if applicable)</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Homeless liaison identified</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xml:space="preserve">Identification </w:t>
            </w:r>
            <w:r>
              <w:rPr>
                <w:rFonts w:eastAsia="Times New Roman"/>
                <w:sz w:val="16"/>
                <w:szCs w:val="16"/>
              </w:rPr>
              <w:t>and</w:t>
            </w:r>
            <w:r w:rsidRPr="00BB69C2">
              <w:rPr>
                <w:rFonts w:eastAsia="Times New Roman"/>
                <w:sz w:val="16"/>
                <w:szCs w:val="16"/>
              </w:rPr>
              <w:t xml:space="preserve"> service procedure narrative completed</w:t>
            </w:r>
            <w:r>
              <w:rPr>
                <w:rFonts w:eastAsia="Times New Roman"/>
                <w:sz w:val="16"/>
                <w:szCs w:val="16"/>
              </w:rPr>
              <w:t xml:space="preserve">; </w:t>
            </w:r>
            <w:r w:rsidRPr="00BB69C2">
              <w:rPr>
                <w:rFonts w:eastAsia="Times New Roman"/>
                <w:sz w:val="16"/>
                <w:szCs w:val="16"/>
              </w:rPr>
              <w:t xml:space="preserve">if "0"s, explain identification </w:t>
            </w:r>
            <w:r>
              <w:rPr>
                <w:rFonts w:eastAsia="Times New Roman"/>
                <w:sz w:val="16"/>
                <w:szCs w:val="16"/>
              </w:rPr>
              <w:t>and</w:t>
            </w:r>
            <w:r w:rsidRPr="00BB69C2">
              <w:rPr>
                <w:rFonts w:eastAsia="Times New Roman"/>
                <w:sz w:val="16"/>
                <w:szCs w:val="16"/>
              </w:rPr>
              <w:t xml:space="preserve"> how </w:t>
            </w:r>
            <w:r>
              <w:rPr>
                <w:rFonts w:eastAsia="Times New Roman"/>
                <w:sz w:val="16"/>
                <w:szCs w:val="16"/>
              </w:rPr>
              <w:t>students</w:t>
            </w:r>
            <w:r w:rsidRPr="00BB69C2">
              <w:rPr>
                <w:rFonts w:eastAsia="Times New Roman"/>
                <w:sz w:val="16"/>
                <w:szCs w:val="16"/>
              </w:rPr>
              <w:t xml:space="preserve"> will be served if identified in the future</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Description review</w:t>
            </w:r>
            <w:r>
              <w:rPr>
                <w:rFonts w:eastAsia="Times New Roman"/>
                <w:sz w:val="16"/>
                <w:szCs w:val="16"/>
              </w:rPr>
              <w:t>ed by Title I Homeless Program s</w:t>
            </w:r>
            <w:r w:rsidRPr="00BB69C2">
              <w:rPr>
                <w:rFonts w:eastAsia="Times New Roman"/>
                <w:sz w:val="16"/>
                <w:szCs w:val="16"/>
              </w:rPr>
              <w:t>pecialist if there are non-Title I schools in the district</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shd w:val="clear" w:color="auto" w:fill="C0C0C0"/>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shd w:val="clear" w:color="auto" w:fill="C0C0C0"/>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shd w:val="clear" w:color="auto" w:fill="C0C0C0"/>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Title I Program-Specific Information</w:t>
            </w:r>
          </w:p>
        </w:tc>
      </w:tr>
      <w:tr w:rsidR="000F40A9" w:rsidRPr="00BB69C2" w:rsidTr="00313EC1">
        <w:trPr>
          <w:trHeight w:val="285"/>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Fiscal Effort Tab</w:t>
            </w:r>
            <w:r>
              <w:rPr>
                <w:rFonts w:eastAsia="Times New Roman"/>
                <w:b/>
                <w:bCs/>
                <w:sz w:val="16"/>
                <w:szCs w:val="16"/>
              </w:rPr>
              <w:t xml:space="preserve">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Grade</w:t>
            </w:r>
            <w:r>
              <w:rPr>
                <w:rFonts w:eastAsia="Times New Roman"/>
                <w:sz w:val="16"/>
                <w:szCs w:val="16"/>
              </w:rPr>
              <w:t>-</w:t>
            </w:r>
            <w:r w:rsidRPr="00BB69C2">
              <w:rPr>
                <w:rFonts w:eastAsia="Times New Roman"/>
                <w:sz w:val="16"/>
                <w:szCs w:val="16"/>
              </w:rPr>
              <w:t>span grouping is checked</w:t>
            </w:r>
            <w:r>
              <w:rPr>
                <w:rFonts w:eastAsia="Times New Roman"/>
                <w:sz w:val="16"/>
                <w:szCs w:val="16"/>
              </w:rPr>
              <w:t xml:space="preserve">, </w:t>
            </w:r>
            <w:r w:rsidRPr="00BB69C2">
              <w:rPr>
                <w:rFonts w:eastAsia="Times New Roman"/>
                <w:sz w:val="16"/>
                <w:szCs w:val="16"/>
              </w:rPr>
              <w:t>if applicable</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Maintenance of Effort (MOE) is calculated and pre-populated for districts</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ind w:firstLineChars="200" w:firstLine="320"/>
              <w:rPr>
                <w:rFonts w:eastAsia="Times New Roman"/>
                <w:sz w:val="16"/>
                <w:szCs w:val="16"/>
              </w:rPr>
            </w:pPr>
            <w:r w:rsidRPr="00BB69C2">
              <w:rPr>
                <w:rFonts w:eastAsia="Times New Roman"/>
                <w:sz w:val="16"/>
                <w:szCs w:val="16"/>
              </w:rPr>
              <w:t>• MOE complete (</w:t>
            </w:r>
            <w:r>
              <w:rPr>
                <w:rFonts w:eastAsia="Times New Roman"/>
                <w:sz w:val="16"/>
                <w:szCs w:val="16"/>
              </w:rPr>
              <w:t>cannot be less than 90-</w:t>
            </w:r>
            <w:r w:rsidRPr="00BB69C2">
              <w:rPr>
                <w:rFonts w:eastAsia="Times New Roman"/>
                <w:sz w:val="16"/>
                <w:szCs w:val="16"/>
              </w:rPr>
              <w:t>percent of previou</w:t>
            </w:r>
            <w:r>
              <w:rPr>
                <w:rFonts w:eastAsia="Times New Roman"/>
                <w:sz w:val="16"/>
                <w:szCs w:val="16"/>
              </w:rPr>
              <w:t>s year; if so, Title Programs Education Program S</w:t>
            </w:r>
            <w:r w:rsidRPr="00BB69C2">
              <w:rPr>
                <w:rFonts w:eastAsia="Times New Roman"/>
                <w:sz w:val="16"/>
                <w:szCs w:val="16"/>
              </w:rPr>
              <w:t xml:space="preserve">pecialist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ind w:firstLineChars="200" w:firstLine="320"/>
              <w:rPr>
                <w:rFonts w:eastAsia="Times New Roman"/>
                <w:sz w:val="16"/>
                <w:szCs w:val="16"/>
              </w:rPr>
            </w:pPr>
            <w:r>
              <w:rPr>
                <w:rFonts w:eastAsia="Times New Roman"/>
                <w:sz w:val="16"/>
                <w:szCs w:val="16"/>
              </w:rPr>
              <w:t xml:space="preserve">  must notify the district and Title I d</w:t>
            </w:r>
            <w:r w:rsidRPr="00BB69C2">
              <w:rPr>
                <w:rFonts w:eastAsia="Times New Roman"/>
                <w:sz w:val="16"/>
                <w:szCs w:val="16"/>
              </w:rPr>
              <w:t>irector)</w:t>
            </w:r>
            <w:r>
              <w:rPr>
                <w:rFonts w:eastAsia="Times New Roman"/>
                <w:sz w:val="16"/>
                <w:szCs w:val="16"/>
              </w:rPr>
              <w:t>.</w:t>
            </w:r>
          </w:p>
        </w:tc>
      </w:tr>
      <w:tr w:rsidR="000F40A9"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rPr>
                <w:rFonts w:eastAsia="Times New Roman"/>
                <w:strike/>
                <w:sz w:val="16"/>
                <w:szCs w:val="16"/>
              </w:rPr>
            </w:pPr>
            <w:r>
              <w:rPr>
                <w:rFonts w:eastAsia="Times New Roman"/>
                <w:sz w:val="16"/>
                <w:szCs w:val="16"/>
              </w:rPr>
              <w:t>EXCEPTION: State s</w:t>
            </w:r>
            <w:r w:rsidRPr="00BB69C2">
              <w:rPr>
                <w:rFonts w:eastAsia="Times New Roman"/>
                <w:sz w:val="16"/>
                <w:szCs w:val="16"/>
              </w:rPr>
              <w:t>cho</w:t>
            </w:r>
            <w:r>
              <w:rPr>
                <w:rFonts w:eastAsia="Times New Roman"/>
                <w:sz w:val="16"/>
                <w:szCs w:val="16"/>
              </w:rPr>
              <w:t xml:space="preserve">ols </w:t>
            </w:r>
            <w:r w:rsidRPr="00BB69C2">
              <w:rPr>
                <w:rFonts w:eastAsia="Times New Roman"/>
                <w:sz w:val="16"/>
                <w:szCs w:val="16"/>
              </w:rPr>
              <w:t>must complete the following:</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8871CB" w:rsidRDefault="003A0563" w:rsidP="00313EC1">
            <w:pPr>
              <w:spacing w:after="0"/>
              <w:ind w:firstLineChars="200" w:firstLine="320"/>
              <w:rPr>
                <w:rFonts w:eastAsia="Times New Roman"/>
                <w:sz w:val="16"/>
                <w:szCs w:val="16"/>
              </w:rPr>
            </w:pPr>
            <w:r w:rsidRPr="008871CB">
              <w:rPr>
                <w:rFonts w:eastAsia="Times New Roman"/>
                <w:sz w:val="16"/>
                <w:szCs w:val="16"/>
              </w:rPr>
              <w:t>• 2013</w:t>
            </w:r>
            <w:r w:rsidR="000F40A9" w:rsidRPr="008871CB">
              <w:rPr>
                <w:rFonts w:eastAsia="Times New Roman"/>
                <w:sz w:val="16"/>
                <w:szCs w:val="16"/>
              </w:rPr>
              <w:t xml:space="preserve"> and 201</w:t>
            </w:r>
            <w:r w:rsidRPr="008871CB">
              <w:rPr>
                <w:rFonts w:eastAsia="Times New Roman"/>
                <w:sz w:val="16"/>
                <w:szCs w:val="16"/>
              </w:rPr>
              <w:t>4</w:t>
            </w:r>
            <w:r w:rsidR="000F40A9" w:rsidRPr="008871CB">
              <w:rPr>
                <w:rFonts w:eastAsia="Times New Roman"/>
                <w:sz w:val="16"/>
                <w:szCs w:val="16"/>
              </w:rPr>
              <w:t xml:space="preserve"> MOE spreadsheets are attached and match figures on the ConApp.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8871CB" w:rsidRDefault="000F40A9" w:rsidP="00313EC1">
            <w:pPr>
              <w:spacing w:after="0"/>
              <w:ind w:firstLineChars="200" w:firstLine="320"/>
              <w:rPr>
                <w:rFonts w:eastAsia="Times New Roman"/>
                <w:sz w:val="16"/>
                <w:szCs w:val="16"/>
              </w:rPr>
            </w:pPr>
            <w:r w:rsidRPr="008871CB">
              <w:rPr>
                <w:rFonts w:eastAsia="Times New Roman"/>
                <w:sz w:val="16"/>
                <w:szCs w:val="16"/>
              </w:rPr>
              <w:t xml:space="preserve">• </w:t>
            </w:r>
            <w:r w:rsidR="003A0563" w:rsidRPr="008871CB">
              <w:rPr>
                <w:rFonts w:eastAsia="Times New Roman"/>
                <w:sz w:val="16"/>
                <w:szCs w:val="16"/>
              </w:rPr>
              <w:t>2013</w:t>
            </w:r>
            <w:r w:rsidRPr="008871CB">
              <w:rPr>
                <w:rFonts w:eastAsia="Times New Roman"/>
                <w:sz w:val="16"/>
                <w:szCs w:val="16"/>
              </w:rPr>
              <w:t xml:space="preserve"> and 201</w:t>
            </w:r>
            <w:r w:rsidR="003A0563" w:rsidRPr="008871CB">
              <w:rPr>
                <w:rFonts w:eastAsia="Times New Roman"/>
                <w:sz w:val="16"/>
                <w:szCs w:val="16"/>
              </w:rPr>
              <w:t>4</w:t>
            </w:r>
            <w:r w:rsidRPr="008871CB">
              <w:rPr>
                <w:rFonts w:eastAsia="Times New Roman"/>
                <w:sz w:val="16"/>
                <w:szCs w:val="16"/>
              </w:rPr>
              <w:t xml:space="preserve"> Financial Analysis Reports–Fund 100 are attached and match MOE worksheets.</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Determination of number of children from low-income families is indicated (school lunch)</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Set-</w:t>
            </w:r>
            <w:r>
              <w:rPr>
                <w:rFonts w:eastAsia="Times New Roman"/>
                <w:b/>
                <w:bCs/>
                <w:sz w:val="16"/>
                <w:szCs w:val="16"/>
              </w:rPr>
              <w:t>A</w:t>
            </w:r>
            <w:r w:rsidRPr="00BB69C2">
              <w:rPr>
                <w:rFonts w:eastAsia="Times New Roman"/>
                <w:b/>
                <w:bCs/>
                <w:sz w:val="16"/>
                <w:szCs w:val="16"/>
              </w:rPr>
              <w:t>side Tab</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Indirect Cost is &lt;</w:t>
            </w:r>
            <w:r>
              <w:rPr>
                <w:rFonts w:eastAsia="Times New Roman"/>
                <w:sz w:val="16"/>
                <w:szCs w:val="16"/>
              </w:rPr>
              <w:t xml:space="preserve"> </w:t>
            </w:r>
            <w:r w:rsidRPr="00BB69C2">
              <w:rPr>
                <w:rFonts w:eastAsia="Times New Roman"/>
                <w:sz w:val="16"/>
                <w:szCs w:val="16"/>
              </w:rPr>
              <w:t>=</w:t>
            </w:r>
            <w:r>
              <w:rPr>
                <w:rFonts w:eastAsia="Times New Roman"/>
                <w:sz w:val="16"/>
                <w:szCs w:val="16"/>
              </w:rPr>
              <w:t xml:space="preserve"> </w:t>
            </w:r>
            <w:r w:rsidRPr="00BB69C2">
              <w:rPr>
                <w:rFonts w:eastAsia="Times New Roman"/>
                <w:sz w:val="16"/>
                <w:szCs w:val="16"/>
              </w:rPr>
              <w:t>maximum</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The embedded Indirect Cost Worksheet is completed</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Pr>
                <w:rFonts w:eastAsia="Times New Roman"/>
                <w:sz w:val="16"/>
                <w:szCs w:val="16"/>
              </w:rPr>
              <w:t>At least 1-</w:t>
            </w:r>
            <w:r w:rsidRPr="00BB69C2">
              <w:rPr>
                <w:rFonts w:eastAsia="Times New Roman"/>
                <w:sz w:val="16"/>
                <w:szCs w:val="16"/>
              </w:rPr>
              <w:t>percent of the allocation has been set</w:t>
            </w:r>
            <w:r>
              <w:rPr>
                <w:rFonts w:eastAsia="Times New Roman"/>
                <w:sz w:val="16"/>
                <w:szCs w:val="16"/>
              </w:rPr>
              <w:t xml:space="preserve"> </w:t>
            </w:r>
            <w:r w:rsidRPr="00BB69C2">
              <w:rPr>
                <w:rFonts w:eastAsia="Times New Roman"/>
                <w:sz w:val="16"/>
                <w:szCs w:val="16"/>
              </w:rPr>
              <w:t>aside for parent</w:t>
            </w:r>
            <w:r>
              <w:rPr>
                <w:rFonts w:eastAsia="Times New Roman"/>
                <w:sz w:val="16"/>
                <w:szCs w:val="16"/>
              </w:rPr>
              <w:t xml:space="preserve">al </w:t>
            </w:r>
            <w:r w:rsidRPr="00BB69C2">
              <w:rPr>
                <w:rFonts w:eastAsia="Times New Roman"/>
                <w:sz w:val="16"/>
                <w:szCs w:val="16"/>
              </w:rPr>
              <w:t>involvement if current year Title I, Part A allocation is greater than $500,000</w:t>
            </w:r>
            <w:r>
              <w:rPr>
                <w:rFonts w:eastAsia="Times New Roman"/>
                <w:sz w:val="16"/>
                <w:szCs w:val="16"/>
              </w:rPr>
              <w:t>.</w:t>
            </w:r>
          </w:p>
        </w:tc>
      </w:tr>
      <w:tr w:rsidR="00322494" w:rsidRPr="00BB69C2" w:rsidTr="00313EC1">
        <w:trPr>
          <w:trHeight w:val="20"/>
        </w:trPr>
        <w:tc>
          <w:tcPr>
            <w:tcW w:w="514" w:type="dxa"/>
            <w:tcBorders>
              <w:top w:val="nil"/>
              <w:left w:val="single" w:sz="4" w:space="0" w:color="auto"/>
              <w:bottom w:val="single" w:sz="4" w:space="0" w:color="auto"/>
              <w:right w:val="single" w:sz="4" w:space="0" w:color="auto"/>
            </w:tcBorders>
          </w:tcPr>
          <w:p w:rsidR="00322494" w:rsidRDefault="00322494"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322494" w:rsidRPr="00BB69C2" w:rsidRDefault="00322494"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322494" w:rsidRPr="00BB69C2" w:rsidRDefault="00322494"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noWrap/>
            <w:vAlign w:val="bottom"/>
          </w:tcPr>
          <w:p w:rsidR="00322494" w:rsidRPr="008871CB" w:rsidRDefault="00322494" w:rsidP="00313EC1">
            <w:pPr>
              <w:spacing w:after="0"/>
              <w:rPr>
                <w:rFonts w:eastAsia="Times New Roman"/>
                <w:sz w:val="16"/>
                <w:szCs w:val="16"/>
              </w:rPr>
            </w:pPr>
            <w:r w:rsidRPr="008871CB">
              <w:rPr>
                <w:rFonts w:eastAsia="Times New Roman"/>
                <w:sz w:val="16"/>
                <w:szCs w:val="16"/>
              </w:rPr>
              <w:t>FY15 Parent Involvement Carryover Set-Aside has been added.</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866F7D" w:rsidRDefault="00866F7D"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866F7D" w:rsidRPr="008871CB" w:rsidRDefault="000F40A9" w:rsidP="00313EC1">
            <w:pPr>
              <w:spacing w:after="0"/>
              <w:rPr>
                <w:rFonts w:eastAsia="Times New Roman"/>
                <w:sz w:val="16"/>
                <w:szCs w:val="16"/>
              </w:rPr>
            </w:pPr>
            <w:r w:rsidRPr="008871CB">
              <w:rPr>
                <w:rFonts w:eastAsia="Times New Roman"/>
                <w:sz w:val="16"/>
                <w:szCs w:val="16"/>
              </w:rPr>
              <w:t xml:space="preserve">At least 5-percent for the </w:t>
            </w:r>
            <w:proofErr w:type="gramStart"/>
            <w:r w:rsidRPr="008871CB">
              <w:rPr>
                <w:rFonts w:eastAsia="Times New Roman"/>
                <w:sz w:val="16"/>
                <w:szCs w:val="16"/>
              </w:rPr>
              <w:t xml:space="preserve">district’s </w:t>
            </w:r>
            <w:r w:rsidR="005559D4" w:rsidRPr="008871CB">
              <w:rPr>
                <w:rFonts w:eastAsia="Times New Roman"/>
                <w:sz w:val="16"/>
                <w:szCs w:val="16"/>
              </w:rPr>
              <w:t xml:space="preserve"> Flexible</w:t>
            </w:r>
            <w:proofErr w:type="gramEnd"/>
            <w:r w:rsidR="005559D4" w:rsidRPr="008871CB">
              <w:rPr>
                <w:rFonts w:eastAsia="Times New Roman"/>
                <w:sz w:val="16"/>
                <w:szCs w:val="16"/>
              </w:rPr>
              <w:t xml:space="preserve"> Learning Program</w:t>
            </w:r>
            <w:r w:rsidRPr="008871CB">
              <w:rPr>
                <w:rFonts w:eastAsia="Times New Roman"/>
                <w:sz w:val="16"/>
                <w:szCs w:val="16"/>
              </w:rPr>
              <w:t xml:space="preserve"> (FLP), if applicable.</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noWrap/>
            <w:vAlign w:val="bottom"/>
          </w:tcPr>
          <w:p w:rsidR="000F40A9" w:rsidRPr="008871CB" w:rsidRDefault="000F40A9" w:rsidP="00313EC1">
            <w:pPr>
              <w:spacing w:after="0"/>
              <w:ind w:left="432"/>
              <w:rPr>
                <w:rFonts w:eastAsia="Times New Roman"/>
                <w:sz w:val="16"/>
                <w:szCs w:val="16"/>
              </w:rPr>
            </w:pPr>
            <w:r w:rsidRPr="008871CB">
              <w:rPr>
                <w:rFonts w:eastAsia="Times New Roman"/>
                <w:sz w:val="16"/>
                <w:szCs w:val="16"/>
              </w:rPr>
              <w:t xml:space="preserve">Unless a lesser amount has been Department-approved.  If a lesser amount is approved by the Department for the </w:t>
            </w:r>
            <w:r w:rsidRPr="008871CB">
              <w:rPr>
                <w:rFonts w:eastAsia="Times New Roman"/>
                <w:sz w:val="16"/>
                <w:szCs w:val="16"/>
              </w:rPr>
              <w:br/>
              <w:t>5- percent, describe how to find the info.</w:t>
            </w:r>
          </w:p>
        </w:tc>
      </w:tr>
      <w:tr w:rsidR="000F40A9" w:rsidRPr="00BB69C2" w:rsidTr="00313EC1">
        <w:trPr>
          <w:trHeight w:val="144"/>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Pr="008871CB" w:rsidRDefault="000F40A9" w:rsidP="00313EC1">
            <w:pPr>
              <w:spacing w:after="0"/>
              <w:ind w:firstLine="432"/>
              <w:rPr>
                <w:rFonts w:eastAsia="Times New Roman"/>
                <w:sz w:val="16"/>
                <w:szCs w:val="16"/>
              </w:rPr>
            </w:pPr>
            <w:r w:rsidRPr="008871CB">
              <w:rPr>
                <w:rFonts w:eastAsia="Times New Roman"/>
                <w:sz w:val="16"/>
                <w:szCs w:val="16"/>
              </w:rPr>
              <w:t xml:space="preserve">Additional funds for the </w:t>
            </w:r>
            <w:proofErr w:type="gramStart"/>
            <w:r w:rsidRPr="008871CB">
              <w:rPr>
                <w:rFonts w:eastAsia="Times New Roman"/>
                <w:sz w:val="16"/>
                <w:szCs w:val="16"/>
              </w:rPr>
              <w:t xml:space="preserve">district’s </w:t>
            </w:r>
            <w:r w:rsidR="005559D4" w:rsidRPr="008871CB">
              <w:rPr>
                <w:rFonts w:eastAsia="Times New Roman"/>
                <w:sz w:val="16"/>
                <w:szCs w:val="16"/>
              </w:rPr>
              <w:t xml:space="preserve"> Flexible</w:t>
            </w:r>
            <w:proofErr w:type="gramEnd"/>
            <w:r w:rsidR="005559D4" w:rsidRPr="008871CB">
              <w:rPr>
                <w:rFonts w:eastAsia="Times New Roman"/>
                <w:sz w:val="16"/>
                <w:szCs w:val="16"/>
              </w:rPr>
              <w:t xml:space="preserve"> Learning Program</w:t>
            </w:r>
            <w:r w:rsidRPr="008871CB">
              <w:rPr>
                <w:rFonts w:eastAsia="Times New Roman"/>
                <w:sz w:val="16"/>
                <w:szCs w:val="16"/>
              </w:rPr>
              <w:t xml:space="preserve"> (FLP), if applicable.  Must be in a custom set-aside. </w:t>
            </w:r>
          </w:p>
        </w:tc>
      </w:tr>
      <w:tr w:rsidR="00322494" w:rsidRPr="00BB69C2" w:rsidTr="00313EC1">
        <w:trPr>
          <w:trHeight w:val="144"/>
        </w:trPr>
        <w:tc>
          <w:tcPr>
            <w:tcW w:w="514" w:type="dxa"/>
            <w:tcBorders>
              <w:top w:val="nil"/>
              <w:left w:val="single" w:sz="4" w:space="0" w:color="auto"/>
              <w:bottom w:val="single" w:sz="4" w:space="0" w:color="auto"/>
              <w:right w:val="single" w:sz="4" w:space="0" w:color="auto"/>
            </w:tcBorders>
          </w:tcPr>
          <w:p w:rsidR="00322494" w:rsidRDefault="00322494"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322494" w:rsidRDefault="00322494"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322494" w:rsidRDefault="00322494"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322494" w:rsidRPr="008871CB" w:rsidRDefault="00322494" w:rsidP="00322494">
            <w:pPr>
              <w:spacing w:after="0"/>
              <w:rPr>
                <w:rFonts w:eastAsia="Times New Roman"/>
                <w:sz w:val="16"/>
                <w:szCs w:val="16"/>
              </w:rPr>
            </w:pPr>
            <w:r w:rsidRPr="008871CB">
              <w:rPr>
                <w:rFonts w:eastAsia="Times New Roman"/>
                <w:sz w:val="16"/>
                <w:szCs w:val="16"/>
              </w:rPr>
              <w:t>FY15 FLP Carryover Set-Aside has been added.</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8871CB" w:rsidRDefault="000F40A9" w:rsidP="00313EC1">
            <w:pPr>
              <w:spacing w:after="0"/>
              <w:rPr>
                <w:rFonts w:eastAsia="Times New Roman"/>
                <w:sz w:val="16"/>
                <w:szCs w:val="16"/>
              </w:rPr>
            </w:pPr>
            <w:r w:rsidRPr="008871CB">
              <w:rPr>
                <w:rFonts w:eastAsia="Times New Roman"/>
                <w:sz w:val="16"/>
                <w:szCs w:val="16"/>
              </w:rPr>
              <w:t xml:space="preserve">At least 5-percent of the district’s allocation must be set aside for professional learning if the district has teachers who do not meet the highly qualified requirements in </w:t>
            </w:r>
            <w:r w:rsidRPr="008871CB">
              <w:rPr>
                <w:color w:val="000000"/>
                <w:sz w:val="16"/>
                <w:szCs w:val="16"/>
              </w:rPr>
              <w:t>ESEA</w:t>
            </w:r>
            <w:r w:rsidRPr="008871CB">
              <w:rPr>
                <w:rFonts w:eastAsia="Times New Roman"/>
                <w:sz w:val="16"/>
                <w:szCs w:val="16"/>
              </w:rPr>
              <w:t xml:space="preserve"> (review PSC report to determine highly qualified status for teachers), or lesser amount is requested.</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ind w:left="432"/>
              <w:rPr>
                <w:rFonts w:eastAsia="Times New Roman"/>
                <w:sz w:val="16"/>
                <w:szCs w:val="16"/>
              </w:rPr>
            </w:pPr>
            <w:r w:rsidRPr="00BB69C2">
              <w:rPr>
                <w:rFonts w:eastAsia="Times New Roman"/>
                <w:sz w:val="16"/>
                <w:szCs w:val="16"/>
              </w:rPr>
              <w:t>If a lesse</w:t>
            </w:r>
            <w:r>
              <w:rPr>
                <w:rFonts w:eastAsia="Times New Roman"/>
                <w:sz w:val="16"/>
                <w:szCs w:val="16"/>
              </w:rPr>
              <w:t>r amount is requested for the 5-</w:t>
            </w:r>
            <w:r w:rsidRPr="00BB69C2">
              <w:rPr>
                <w:rFonts w:eastAsia="Times New Roman"/>
                <w:sz w:val="16"/>
                <w:szCs w:val="16"/>
              </w:rPr>
              <w:t xml:space="preserve">percent required set-aside for highly qualified professional learning, the highly qualified request for lesser amount </w:t>
            </w:r>
            <w:r w:rsidRPr="00FE2FD7">
              <w:rPr>
                <w:rFonts w:eastAsia="Times New Roman"/>
                <w:sz w:val="16"/>
                <w:szCs w:val="16"/>
              </w:rPr>
              <w:t>embedded</w:t>
            </w:r>
            <w:r w:rsidRPr="00BB69C2">
              <w:rPr>
                <w:rFonts w:eastAsia="Times New Roman"/>
                <w:sz w:val="16"/>
                <w:szCs w:val="16"/>
              </w:rPr>
              <w:t xml:space="preserve"> spreadsheet is completed</w:t>
            </w:r>
            <w:r>
              <w:rPr>
                <w:rFonts w:eastAsia="Times New Roman"/>
                <w:sz w:val="16"/>
                <w:szCs w:val="16"/>
              </w:rPr>
              <w:t xml:space="preserve">.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At least 10</w:t>
            </w:r>
            <w:r>
              <w:rPr>
                <w:rFonts w:eastAsia="Times New Roman"/>
                <w:sz w:val="16"/>
                <w:szCs w:val="16"/>
              </w:rPr>
              <w:t>-</w:t>
            </w:r>
            <w:r w:rsidRPr="00BB69C2">
              <w:rPr>
                <w:rFonts w:eastAsia="Times New Roman"/>
                <w:sz w:val="16"/>
                <w:szCs w:val="16"/>
              </w:rPr>
              <w:t xml:space="preserve">percent of the </w:t>
            </w:r>
            <w:r>
              <w:rPr>
                <w:rFonts w:eastAsia="Times New Roman"/>
                <w:sz w:val="16"/>
                <w:szCs w:val="16"/>
              </w:rPr>
              <w:t>district’s allocation and/or 15-percent</w:t>
            </w:r>
            <w:r w:rsidRPr="00BB69C2">
              <w:rPr>
                <w:rFonts w:eastAsia="Times New Roman"/>
                <w:sz w:val="16"/>
                <w:szCs w:val="16"/>
              </w:rPr>
              <w:t xml:space="preserve"> for schools with specific subgroup needs must be set</w:t>
            </w:r>
            <w:r>
              <w:rPr>
                <w:rFonts w:eastAsia="Times New Roman"/>
                <w:sz w:val="16"/>
                <w:szCs w:val="16"/>
              </w:rPr>
              <w:t xml:space="preserve"> </w:t>
            </w:r>
            <w:r w:rsidRPr="00BB69C2">
              <w:rPr>
                <w:rFonts w:eastAsia="Times New Roman"/>
                <w:sz w:val="16"/>
                <w:szCs w:val="16"/>
              </w:rPr>
              <w:t>aside for professio</w:t>
            </w:r>
            <w:r>
              <w:rPr>
                <w:rFonts w:eastAsia="Times New Roman"/>
                <w:sz w:val="16"/>
                <w:szCs w:val="16"/>
              </w:rPr>
              <w:t>nal learning, if required by a M</w:t>
            </w:r>
            <w:r w:rsidRPr="00BB69C2">
              <w:rPr>
                <w:rFonts w:eastAsia="Times New Roman"/>
                <w:sz w:val="16"/>
                <w:szCs w:val="16"/>
              </w:rPr>
              <w:t>emor</w:t>
            </w:r>
            <w:r>
              <w:rPr>
                <w:rFonts w:eastAsia="Times New Roman"/>
                <w:sz w:val="16"/>
                <w:szCs w:val="16"/>
              </w:rPr>
              <w:t>andum of Agreement between the d</w:t>
            </w:r>
            <w:r w:rsidRPr="00BB69C2">
              <w:rPr>
                <w:rFonts w:eastAsia="Times New Roman"/>
                <w:sz w:val="16"/>
                <w:szCs w:val="16"/>
              </w:rPr>
              <w:t xml:space="preserve">istrict and the </w:t>
            </w:r>
            <w:r w:rsidR="00C62CC7">
              <w:rPr>
                <w:rFonts w:eastAsia="Times New Roman"/>
                <w:sz w:val="16"/>
                <w:szCs w:val="16"/>
              </w:rPr>
              <w:t>Department (function 2210)</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vAlign w:val="center"/>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center"/>
            <w:hideMark/>
          </w:tcPr>
          <w:p w:rsidR="000F40A9" w:rsidRPr="00231001" w:rsidRDefault="000F40A9" w:rsidP="00313EC1">
            <w:pPr>
              <w:spacing w:after="0"/>
              <w:rPr>
                <w:rFonts w:eastAsia="Times New Roman"/>
                <w:sz w:val="22"/>
              </w:rPr>
            </w:pPr>
          </w:p>
        </w:tc>
        <w:tc>
          <w:tcPr>
            <w:tcW w:w="481" w:type="dxa"/>
            <w:tcBorders>
              <w:top w:val="single" w:sz="4" w:space="0" w:color="auto"/>
              <w:left w:val="nil"/>
              <w:bottom w:val="single" w:sz="4" w:space="0" w:color="auto"/>
              <w:right w:val="single" w:sz="4" w:space="0" w:color="auto"/>
            </w:tcBorders>
            <w:noWrap/>
            <w:vAlign w:val="center"/>
            <w:hideMark/>
          </w:tcPr>
          <w:p w:rsidR="000F40A9" w:rsidRPr="00231001" w:rsidRDefault="000F40A9"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center"/>
            <w:hideMark/>
          </w:tcPr>
          <w:p w:rsidR="000F40A9" w:rsidRDefault="00C62CC7" w:rsidP="00C62CC7">
            <w:pPr>
              <w:spacing w:after="0"/>
              <w:rPr>
                <w:rFonts w:eastAsia="Times New Roman"/>
                <w:sz w:val="16"/>
                <w:szCs w:val="16"/>
              </w:rPr>
            </w:pPr>
            <w:r>
              <w:rPr>
                <w:rFonts w:eastAsia="Times New Roman"/>
                <w:sz w:val="16"/>
                <w:szCs w:val="16"/>
              </w:rPr>
              <w:t>LEAs</w:t>
            </w:r>
            <w:r w:rsidR="000F40A9">
              <w:rPr>
                <w:rFonts w:eastAsia="Times New Roman"/>
                <w:sz w:val="16"/>
                <w:szCs w:val="16"/>
              </w:rPr>
              <w:t xml:space="preserve"> </w:t>
            </w:r>
            <w:r>
              <w:rPr>
                <w:rFonts w:eastAsia="Times New Roman"/>
                <w:sz w:val="16"/>
                <w:szCs w:val="16"/>
              </w:rPr>
              <w:t xml:space="preserve">identified as an outlier </w:t>
            </w:r>
            <w:r w:rsidRPr="00C62CC7">
              <w:rPr>
                <w:rFonts w:eastAsia="Times New Roman"/>
                <w:sz w:val="16"/>
                <w:szCs w:val="16"/>
              </w:rPr>
              <w:t>is required to spend not less that 5-percent of the LEA’s Title I allocation for professional development.</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single" w:sz="4" w:space="0" w:color="auto"/>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Pr>
                <w:rFonts w:eastAsia="Times New Roman"/>
                <w:sz w:val="16"/>
                <w:szCs w:val="16"/>
              </w:rPr>
              <w:t>Funds set aside for neglected and d</w:t>
            </w:r>
            <w:r w:rsidRPr="00BB69C2">
              <w:rPr>
                <w:rFonts w:eastAsia="Times New Roman"/>
                <w:sz w:val="16"/>
                <w:szCs w:val="16"/>
              </w:rPr>
              <w:t>elinq</w:t>
            </w:r>
            <w:r>
              <w:rPr>
                <w:rFonts w:eastAsia="Times New Roman"/>
                <w:sz w:val="16"/>
                <w:szCs w:val="16"/>
              </w:rPr>
              <w:t>uent (N&amp;D), if applicable, and h</w:t>
            </w:r>
            <w:r w:rsidRPr="00BB69C2">
              <w:rPr>
                <w:rFonts w:eastAsia="Times New Roman"/>
                <w:sz w:val="16"/>
                <w:szCs w:val="16"/>
              </w:rPr>
              <w:t>omeless (required if non-Title I schools); optional if all schools are receiving Title I services</w:t>
            </w:r>
            <w:r>
              <w:rPr>
                <w:rFonts w:eastAsia="Times New Roman"/>
                <w:sz w:val="16"/>
                <w:szCs w:val="16"/>
              </w:rPr>
              <w:t>.</w:t>
            </w:r>
            <w:r w:rsidRPr="00BB69C2">
              <w:rPr>
                <w:rFonts w:eastAsia="Times New Roman"/>
                <w:sz w:val="16"/>
                <w:szCs w:val="16"/>
              </w:rPr>
              <w:t xml:space="preserve"> </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noProof/>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single" w:sz="4" w:space="0" w:color="auto"/>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Funds set</w:t>
            </w:r>
            <w:r>
              <w:rPr>
                <w:rFonts w:eastAsia="Times New Roman"/>
                <w:sz w:val="16"/>
                <w:szCs w:val="16"/>
              </w:rPr>
              <w:t xml:space="preserve"> </w:t>
            </w:r>
            <w:r w:rsidRPr="00BB69C2">
              <w:rPr>
                <w:rFonts w:eastAsia="Times New Roman"/>
                <w:sz w:val="16"/>
                <w:szCs w:val="16"/>
              </w:rPr>
              <w:t>aside for private schools</w:t>
            </w:r>
            <w:r>
              <w:rPr>
                <w:rFonts w:eastAsia="Times New Roman"/>
                <w:sz w:val="16"/>
                <w:szCs w:val="16"/>
              </w:rPr>
              <w:t>’</w:t>
            </w:r>
            <w:r w:rsidRPr="00BB69C2">
              <w:rPr>
                <w:rFonts w:eastAsia="Times New Roman"/>
                <w:sz w:val="16"/>
                <w:szCs w:val="16"/>
              </w:rPr>
              <w:t xml:space="preserve"> per</w:t>
            </w:r>
            <w:r>
              <w:rPr>
                <w:rFonts w:eastAsia="Times New Roman"/>
                <w:sz w:val="16"/>
                <w:szCs w:val="16"/>
              </w:rPr>
              <w:t>-</w:t>
            </w:r>
            <w:r w:rsidRPr="00BB69C2">
              <w:rPr>
                <w:rFonts w:eastAsia="Times New Roman"/>
                <w:sz w:val="16"/>
                <w:szCs w:val="16"/>
              </w:rPr>
              <w:t>pupil amount if private schools are participating</w:t>
            </w:r>
            <w:r>
              <w:rPr>
                <w:rFonts w:eastAsia="Times New Roman"/>
                <w:sz w:val="16"/>
                <w:szCs w:val="16"/>
              </w:rPr>
              <w:t>.</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 xml:space="preserve">The </w:t>
            </w:r>
            <w:r w:rsidRPr="00FE2FD7">
              <w:rPr>
                <w:rFonts w:eastAsia="Times New Roman"/>
                <w:sz w:val="16"/>
                <w:szCs w:val="16"/>
              </w:rPr>
              <w:t>embedded</w:t>
            </w:r>
            <w:r w:rsidRPr="00BB69C2">
              <w:rPr>
                <w:rFonts w:eastAsia="Times New Roman"/>
                <w:sz w:val="16"/>
                <w:szCs w:val="16"/>
              </w:rPr>
              <w:t xml:space="preserve"> private schools</w:t>
            </w:r>
            <w:r>
              <w:rPr>
                <w:rFonts w:eastAsia="Times New Roman"/>
                <w:sz w:val="16"/>
                <w:szCs w:val="16"/>
              </w:rPr>
              <w:t>’</w:t>
            </w:r>
            <w:r w:rsidRPr="00BB69C2">
              <w:rPr>
                <w:rFonts w:eastAsia="Times New Roman"/>
                <w:sz w:val="16"/>
                <w:szCs w:val="16"/>
              </w:rPr>
              <w:t xml:space="preserve"> per</w:t>
            </w:r>
            <w:r>
              <w:rPr>
                <w:rFonts w:eastAsia="Times New Roman"/>
                <w:sz w:val="16"/>
                <w:szCs w:val="16"/>
              </w:rPr>
              <w:t>-</w:t>
            </w:r>
            <w:r w:rsidRPr="00BB69C2">
              <w:rPr>
                <w:rFonts w:eastAsia="Times New Roman"/>
                <w:sz w:val="16"/>
                <w:szCs w:val="16"/>
              </w:rPr>
              <w:t>pupil amount worksheet is completed and matches per</w:t>
            </w:r>
            <w:r>
              <w:rPr>
                <w:rFonts w:eastAsia="Times New Roman"/>
                <w:sz w:val="16"/>
                <w:szCs w:val="16"/>
              </w:rPr>
              <w:t>-</w:t>
            </w:r>
            <w:r w:rsidRPr="00BB69C2">
              <w:rPr>
                <w:rFonts w:eastAsia="Times New Roman"/>
                <w:sz w:val="16"/>
                <w:szCs w:val="16"/>
              </w:rPr>
              <w:t>pupil amount set-aside</w:t>
            </w:r>
            <w:r>
              <w:rPr>
                <w:rFonts w:eastAsia="Times New Roman"/>
                <w:sz w:val="16"/>
                <w:szCs w:val="16"/>
              </w:rPr>
              <w:t>.</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Funds set</w:t>
            </w:r>
            <w:r>
              <w:rPr>
                <w:rFonts w:eastAsia="Times New Roman"/>
                <w:sz w:val="16"/>
                <w:szCs w:val="16"/>
              </w:rPr>
              <w:t xml:space="preserve"> </w:t>
            </w:r>
            <w:r w:rsidRPr="00BB69C2">
              <w:rPr>
                <w:rFonts w:eastAsia="Times New Roman"/>
                <w:sz w:val="16"/>
                <w:szCs w:val="16"/>
              </w:rPr>
              <w:t>aside for private schools</w:t>
            </w:r>
            <w:r>
              <w:rPr>
                <w:rFonts w:eastAsia="Times New Roman"/>
                <w:sz w:val="16"/>
                <w:szCs w:val="16"/>
              </w:rPr>
              <w:t>’</w:t>
            </w:r>
            <w:r w:rsidRPr="00BB69C2">
              <w:rPr>
                <w:rFonts w:eastAsia="Times New Roman"/>
                <w:sz w:val="16"/>
                <w:szCs w:val="16"/>
              </w:rPr>
              <w:t xml:space="preserve"> equitable services if private schools are participating: professional learning</w:t>
            </w:r>
            <w:r>
              <w:rPr>
                <w:rFonts w:eastAsia="Times New Roman"/>
                <w:sz w:val="16"/>
                <w:szCs w:val="16"/>
              </w:rPr>
              <w:t>,</w:t>
            </w:r>
            <w:r w:rsidRPr="00BB69C2">
              <w:rPr>
                <w:rFonts w:eastAsia="Times New Roman"/>
                <w:sz w:val="16"/>
                <w:szCs w:val="16"/>
              </w:rPr>
              <w:t xml:space="preserve"> parental involvement</w:t>
            </w:r>
            <w:r>
              <w:rPr>
                <w:rFonts w:eastAsia="Times New Roman"/>
                <w:sz w:val="16"/>
                <w:szCs w:val="16"/>
              </w:rPr>
              <w:t>,</w:t>
            </w:r>
            <w:r w:rsidRPr="00BB69C2">
              <w:rPr>
                <w:rFonts w:eastAsia="Times New Roman"/>
                <w:sz w:val="16"/>
                <w:szCs w:val="16"/>
              </w:rPr>
              <w:t xml:space="preserve"> districtwide instructional activities</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5915EC" w:rsidP="005915EC">
            <w:pPr>
              <w:spacing w:after="0"/>
              <w:rPr>
                <w:rFonts w:eastAsia="Times New Roman"/>
                <w:sz w:val="16"/>
                <w:szCs w:val="16"/>
              </w:rPr>
            </w:pPr>
            <w:r w:rsidRPr="008871CB">
              <w:rPr>
                <w:rFonts w:eastAsia="Times New Roman"/>
                <w:sz w:val="16"/>
                <w:szCs w:val="16"/>
              </w:rPr>
              <w:t>The embedded</w:t>
            </w:r>
            <w:r w:rsidR="000F40A9" w:rsidRPr="008871CB">
              <w:rPr>
                <w:rFonts w:eastAsia="Times New Roman"/>
                <w:sz w:val="16"/>
                <w:szCs w:val="16"/>
              </w:rPr>
              <w:t xml:space="preserve"> Title I equitable services worksheet is </w:t>
            </w:r>
            <w:r w:rsidRPr="008871CB">
              <w:rPr>
                <w:rFonts w:eastAsia="Times New Roman"/>
                <w:sz w:val="16"/>
                <w:szCs w:val="16"/>
              </w:rPr>
              <w:t>completed</w:t>
            </w:r>
            <w:r w:rsidR="000F40A9" w:rsidRPr="008871CB">
              <w:rPr>
                <w:rFonts w:eastAsia="Times New Roman"/>
                <w:sz w:val="16"/>
                <w:szCs w:val="16"/>
              </w:rPr>
              <w:t xml:space="preserve"> and</w:t>
            </w:r>
            <w:r w:rsidR="000F40A9" w:rsidRPr="00BB69C2">
              <w:rPr>
                <w:rFonts w:eastAsia="Times New Roman"/>
                <w:sz w:val="16"/>
                <w:szCs w:val="16"/>
              </w:rPr>
              <w:t xml:space="preserve"> matches</w:t>
            </w:r>
            <w:r w:rsidR="000F40A9">
              <w:rPr>
                <w:rFonts w:eastAsia="Times New Roman"/>
                <w:sz w:val="16"/>
                <w:szCs w:val="16"/>
              </w:rPr>
              <w:t xml:space="preserve"> the</w:t>
            </w:r>
            <w:r w:rsidR="000F40A9" w:rsidRPr="00BB69C2">
              <w:rPr>
                <w:rFonts w:eastAsia="Times New Roman"/>
                <w:sz w:val="16"/>
                <w:szCs w:val="16"/>
              </w:rPr>
              <w:t xml:space="preserve"> equitable services set-aside amount</w:t>
            </w:r>
            <w:r w:rsidR="000F40A9">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Other Funds Tab</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Pr>
                <w:rFonts w:eastAsia="Times New Roman"/>
                <w:sz w:val="16"/>
                <w:szCs w:val="16"/>
              </w:rPr>
              <w:t>Other funding sources for professional d</w:t>
            </w:r>
            <w:r w:rsidRPr="00BB69C2">
              <w:rPr>
                <w:rFonts w:eastAsia="Times New Roman"/>
                <w:sz w:val="16"/>
                <w:szCs w:val="16"/>
              </w:rPr>
              <w:t>evelopment (PD) are listed with the funding source, the purpose of the funds</w:t>
            </w:r>
            <w:r>
              <w:rPr>
                <w:rFonts w:eastAsia="Times New Roman"/>
                <w:sz w:val="16"/>
                <w:szCs w:val="16"/>
              </w:rPr>
              <w:t>,</w:t>
            </w:r>
            <w:r w:rsidRPr="00BB69C2">
              <w:rPr>
                <w:rFonts w:eastAsia="Times New Roman"/>
                <w:sz w:val="16"/>
                <w:szCs w:val="16"/>
              </w:rPr>
              <w:t xml:space="preserve"> and the amount specified.  </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481" w:type="dxa"/>
            <w:tcBorders>
              <w:top w:val="single" w:sz="4" w:space="0" w:color="auto"/>
              <w:left w:val="nil"/>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Default="000F40A9" w:rsidP="00313EC1">
            <w:pPr>
              <w:spacing w:after="0"/>
              <w:rPr>
                <w:rFonts w:eastAsia="Times New Roman"/>
                <w:sz w:val="16"/>
                <w:szCs w:val="16"/>
              </w:rPr>
            </w:pPr>
            <w:r w:rsidRPr="00BB69C2">
              <w:rPr>
                <w:rFonts w:eastAsia="Times New Roman"/>
                <w:sz w:val="16"/>
                <w:szCs w:val="16"/>
              </w:rPr>
              <w:t>Other funding sourc</w:t>
            </w:r>
            <w:r>
              <w:rPr>
                <w:rFonts w:eastAsia="Times New Roman"/>
                <w:sz w:val="16"/>
                <w:szCs w:val="16"/>
              </w:rPr>
              <w:t xml:space="preserve">es for the </w:t>
            </w:r>
            <w:r w:rsidR="005559D4">
              <w:rPr>
                <w:rFonts w:eastAsia="Times New Roman"/>
                <w:sz w:val="16"/>
                <w:szCs w:val="16"/>
              </w:rPr>
              <w:t>Flexible Learning Program</w:t>
            </w:r>
            <w:r w:rsidRPr="00BB69C2">
              <w:rPr>
                <w:rFonts w:eastAsia="Times New Roman"/>
                <w:sz w:val="16"/>
                <w:szCs w:val="16"/>
              </w:rPr>
              <w:t xml:space="preserve"> (FLP) only apply to amounts above and beyond the required 5</w:t>
            </w:r>
            <w:r>
              <w:rPr>
                <w:rFonts w:eastAsia="Times New Roman"/>
                <w:sz w:val="16"/>
                <w:szCs w:val="16"/>
              </w:rPr>
              <w:t>-percent</w:t>
            </w:r>
            <w:r w:rsidRPr="00BB69C2">
              <w:rPr>
                <w:rFonts w:eastAsia="Times New Roman"/>
                <w:sz w:val="16"/>
                <w:szCs w:val="16"/>
              </w:rPr>
              <w:t xml:space="preserve"> set-aside.</w:t>
            </w:r>
          </w:p>
        </w:tc>
      </w:tr>
    </w:tbl>
    <w:p w:rsidR="0081776B" w:rsidRDefault="0081776B" w:rsidP="000F40A9">
      <w:pPr>
        <w:pStyle w:val="TableCaption"/>
      </w:pPr>
    </w:p>
    <w:p w:rsidR="000F40A9" w:rsidRDefault="000F40A9" w:rsidP="00F53934">
      <w:pPr>
        <w:pStyle w:val="TableCaption"/>
        <w:jc w:val="left"/>
        <w:rPr>
          <w:b w:val="0"/>
          <w:color w:val="000000"/>
        </w:rPr>
      </w:pPr>
    </w:p>
    <w:p w:rsidR="000F40A9" w:rsidRPr="00BB69C2" w:rsidRDefault="000F40A9" w:rsidP="000F40A9">
      <w:pPr>
        <w:pStyle w:val="Header"/>
        <w:rPr>
          <w:b/>
        </w:rPr>
      </w:pPr>
    </w:p>
    <w:p w:rsidR="0076450A" w:rsidRPr="005D772D" w:rsidRDefault="0076450A" w:rsidP="00A20838">
      <w:pPr>
        <w:tabs>
          <w:tab w:val="left" w:pos="9090"/>
        </w:tabs>
        <w:ind w:right="-738"/>
        <w:rPr>
          <w:sz w:val="16"/>
          <w:szCs w:val="16"/>
          <w:u w:val="single"/>
        </w:rPr>
      </w:pPr>
      <w:r w:rsidRPr="00023F07">
        <w:rPr>
          <w:sz w:val="16"/>
          <w:szCs w:val="16"/>
        </w:rPr>
        <w:lastRenderedPageBreak/>
        <w:t>DISTRICT:</w:t>
      </w:r>
      <w:r>
        <w:rPr>
          <w:sz w:val="16"/>
          <w:szCs w:val="16"/>
          <w:u w:val="single"/>
        </w:rPr>
        <w:t xml:space="preserve"> </w:t>
      </w:r>
      <w:r w:rsidRPr="00023F07">
        <w:rPr>
          <w:sz w:val="16"/>
          <w:szCs w:val="16"/>
          <w:u w:val="single"/>
        </w:rPr>
        <w:t>______________________</w:t>
      </w:r>
      <w:r w:rsidRPr="0076450A">
        <w:rPr>
          <w:sz w:val="16"/>
          <w:szCs w:val="16"/>
          <w:u w:val="single"/>
        </w:rPr>
        <w:t xml:space="preserve">_ </w:t>
      </w:r>
      <w:r w:rsidRPr="0076450A">
        <w:rPr>
          <w:sz w:val="16"/>
          <w:szCs w:val="16"/>
        </w:rPr>
        <w:t xml:space="preserve">Superintendent: _________________________ Title </w:t>
      </w:r>
      <w:proofErr w:type="gramStart"/>
      <w:r w:rsidRPr="0076450A">
        <w:rPr>
          <w:sz w:val="16"/>
          <w:szCs w:val="16"/>
        </w:rPr>
        <w:t>I</w:t>
      </w:r>
      <w:proofErr w:type="gramEnd"/>
      <w:r w:rsidRPr="0076450A">
        <w:rPr>
          <w:sz w:val="16"/>
          <w:szCs w:val="16"/>
        </w:rPr>
        <w:t xml:space="preserve"> Director: </w:t>
      </w:r>
      <w:r w:rsidRPr="0076450A">
        <w:rPr>
          <w:sz w:val="16"/>
          <w:szCs w:val="16"/>
          <w:u w:val="single"/>
        </w:rPr>
        <w:t>________________________</w:t>
      </w:r>
      <w:r>
        <w:rPr>
          <w:sz w:val="16"/>
          <w:szCs w:val="16"/>
        </w:rPr>
        <w:t xml:space="preserve">    FY: 2016</w:t>
      </w:r>
    </w:p>
    <w:p w:rsidR="0076450A" w:rsidRPr="00BB69C2" w:rsidRDefault="0076450A" w:rsidP="0076450A">
      <w:pPr>
        <w:ind w:right="-288"/>
        <w:rPr>
          <w:i/>
          <w:sz w:val="16"/>
          <w:szCs w:val="16"/>
        </w:rPr>
      </w:pPr>
      <w:r w:rsidRPr="00BB69C2">
        <w:rPr>
          <w:i/>
          <w:sz w:val="16"/>
          <w:szCs w:val="16"/>
        </w:rPr>
        <w:t>This checklist is used by the Georgia Department of Education (</w:t>
      </w:r>
      <w:r>
        <w:rPr>
          <w:i/>
          <w:sz w:val="16"/>
          <w:szCs w:val="16"/>
        </w:rPr>
        <w:t>Department</w:t>
      </w:r>
      <w:r w:rsidRPr="00BB69C2">
        <w:rPr>
          <w:i/>
          <w:sz w:val="16"/>
          <w:szCs w:val="16"/>
        </w:rPr>
        <w:t xml:space="preserve">) to ensure that Title I, Part </w:t>
      </w:r>
      <w:proofErr w:type="gramStart"/>
      <w:r w:rsidRPr="00BB69C2">
        <w:rPr>
          <w:i/>
          <w:sz w:val="16"/>
          <w:szCs w:val="16"/>
        </w:rPr>
        <w:t>A</w:t>
      </w:r>
      <w:proofErr w:type="gramEnd"/>
      <w:r>
        <w:rPr>
          <w:i/>
          <w:sz w:val="16"/>
          <w:szCs w:val="16"/>
        </w:rPr>
        <w:t xml:space="preserve"> a</w:t>
      </w:r>
      <w:r w:rsidRPr="00BB69C2">
        <w:rPr>
          <w:i/>
          <w:sz w:val="16"/>
          <w:szCs w:val="16"/>
        </w:rPr>
        <w:t>pplications are evaluated consistently before approval.</w:t>
      </w:r>
    </w:p>
    <w:tbl>
      <w:tblPr>
        <w:tblW w:w="9810" w:type="dxa"/>
        <w:tblInd w:w="108" w:type="dxa"/>
        <w:tblLook w:val="04A0" w:firstRow="1" w:lastRow="0" w:firstColumn="1" w:lastColumn="0" w:noHBand="0" w:noVBand="1"/>
      </w:tblPr>
      <w:tblGrid>
        <w:gridCol w:w="505"/>
        <w:gridCol w:w="477"/>
        <w:gridCol w:w="463"/>
        <w:gridCol w:w="8365"/>
      </w:tblGrid>
      <w:tr w:rsidR="000F40A9" w:rsidRPr="00BB69C2" w:rsidTr="00313EC1">
        <w:trPr>
          <w:trHeight w:val="20"/>
        </w:trPr>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63" w:type="dxa"/>
            <w:tcBorders>
              <w:top w:val="single" w:sz="4" w:space="0" w:color="auto"/>
              <w:left w:val="nil"/>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sz w:val="16"/>
                <w:szCs w:val="16"/>
              </w:rPr>
            </w:pPr>
            <w:r w:rsidRPr="00BB69C2">
              <w:rPr>
                <w:rFonts w:eastAsia="Times New Roman"/>
                <w:b/>
                <w:sz w:val="16"/>
                <w:szCs w:val="16"/>
              </w:rPr>
              <w:t>School Allocations Public School Tab</w:t>
            </w:r>
          </w:p>
        </w:tc>
      </w:tr>
      <w:tr w:rsidR="000F40A9" w:rsidRPr="0076450A" w:rsidTr="00313EC1">
        <w:trPr>
          <w:trHeight w:val="20"/>
        </w:trPr>
        <w:tc>
          <w:tcPr>
            <w:tcW w:w="505" w:type="dxa"/>
            <w:tcBorders>
              <w:top w:val="single" w:sz="4" w:space="0" w:color="auto"/>
              <w:left w:val="single" w:sz="4" w:space="0" w:color="auto"/>
              <w:bottom w:val="single" w:sz="4" w:space="0" w:color="auto"/>
              <w:right w:val="single" w:sz="4" w:space="0" w:color="auto"/>
            </w:tcBorders>
            <w:hideMark/>
          </w:tcPr>
          <w:p w:rsidR="000F40A9" w:rsidRPr="0076450A" w:rsidRDefault="000F40A9" w:rsidP="00313EC1">
            <w:pPr>
              <w:spacing w:after="0"/>
              <w:rPr>
                <w:rFonts w:eastAsia="Times New Roman"/>
                <w:sz w:val="16"/>
                <w:szCs w:val="16"/>
              </w:rPr>
            </w:pPr>
            <w:r w:rsidRPr="0076450A">
              <w:rPr>
                <w:noProof/>
              </w:rPr>
              <mc:AlternateContent>
                <mc:Choice Requires="wps">
                  <w:drawing>
                    <wp:anchor distT="0" distB="0" distL="114300" distR="114300" simplePos="0" relativeHeight="251658240" behindDoc="0" locked="0" layoutInCell="1" allowOverlap="1" wp14:anchorId="5B980E5D" wp14:editId="736BFEC0">
                      <wp:simplePos x="0" y="0"/>
                      <wp:positionH relativeFrom="column">
                        <wp:posOffset>-86995</wp:posOffset>
                      </wp:positionH>
                      <wp:positionV relativeFrom="paragraph">
                        <wp:posOffset>12700</wp:posOffset>
                      </wp:positionV>
                      <wp:extent cx="963930" cy="635"/>
                      <wp:effectExtent l="0" t="0" r="2667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393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85pt;margin-top:1pt;width:75.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" strokeweight=".25pt"/>
                  </w:pict>
                </mc:Fallback>
              </mc:AlternateContent>
            </w:r>
          </w:p>
        </w:tc>
        <w:tc>
          <w:tcPr>
            <w:tcW w:w="477" w:type="dxa"/>
            <w:tcBorders>
              <w:top w:val="single" w:sz="4" w:space="0" w:color="auto"/>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63" w:type="dxa"/>
            <w:tcBorders>
              <w:top w:val="single" w:sz="4" w:space="0" w:color="auto"/>
              <w:left w:val="nil"/>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If the district is serving schools below 35-percent poverty, the per-pupil amount (PPA) must be 125-percent of allocation divided by district FRM prior to set-asides (125-percent rule).  Formula: allocation ÷ total district FRM count x 1.25 = minimum PPA</w:t>
            </w:r>
          </w:p>
        </w:tc>
      </w:tr>
      <w:tr w:rsidR="000F40A9" w:rsidRPr="0076450A" w:rsidTr="00313EC1">
        <w:trPr>
          <w:trHeight w:val="20"/>
        </w:trPr>
        <w:tc>
          <w:tcPr>
            <w:tcW w:w="505" w:type="dxa"/>
            <w:tcBorders>
              <w:top w:val="single" w:sz="4" w:space="0" w:color="auto"/>
              <w:left w:val="single" w:sz="4" w:space="0" w:color="auto"/>
              <w:bottom w:val="single" w:sz="4" w:space="0" w:color="auto"/>
              <w:right w:val="single" w:sz="4" w:space="0" w:color="auto"/>
            </w:tcBorders>
          </w:tcPr>
          <w:p w:rsidR="000F40A9" w:rsidRPr="0076450A" w:rsidRDefault="000F40A9" w:rsidP="00313EC1">
            <w:pPr>
              <w:spacing w:after="0"/>
              <w:rPr>
                <w:noProof/>
                <w:sz w:val="22"/>
              </w:rPr>
            </w:pPr>
          </w:p>
        </w:tc>
        <w:tc>
          <w:tcPr>
            <w:tcW w:w="477" w:type="dxa"/>
            <w:tcBorders>
              <w:top w:val="single" w:sz="4" w:space="0" w:color="auto"/>
              <w:left w:val="single" w:sz="4" w:space="0" w:color="auto"/>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463" w:type="dxa"/>
            <w:tcBorders>
              <w:top w:val="single" w:sz="4" w:space="0" w:color="auto"/>
              <w:left w:val="nil"/>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sz w:val="16"/>
                <w:szCs w:val="16"/>
              </w:rPr>
            </w:pPr>
            <w:r w:rsidRPr="0076450A">
              <w:rPr>
                <w:rFonts w:eastAsia="Times New Roman"/>
                <w:sz w:val="16"/>
                <w:szCs w:val="16"/>
              </w:rPr>
              <w:t>The embedded Eligible Attendance Area w</w:t>
            </w:r>
            <w:r w:rsidR="005F249D" w:rsidRPr="0076450A">
              <w:rPr>
                <w:rFonts w:eastAsia="Times New Roman"/>
                <w:sz w:val="16"/>
                <w:szCs w:val="16"/>
              </w:rPr>
              <w:t>orksheet is completed.  S</w:t>
            </w:r>
            <w:r w:rsidRPr="0076450A">
              <w:rPr>
                <w:rFonts w:eastAsia="Times New Roman"/>
                <w:sz w:val="16"/>
                <w:szCs w:val="16"/>
              </w:rPr>
              <w:t>upporting documentation is attached if the LEA has rezoned, added, or closed schools.</w:t>
            </w:r>
          </w:p>
        </w:tc>
      </w:tr>
      <w:tr w:rsidR="000F40A9" w:rsidRPr="0076450A" w:rsidTr="00313EC1">
        <w:trPr>
          <w:trHeight w:val="20"/>
        </w:trPr>
        <w:tc>
          <w:tcPr>
            <w:tcW w:w="505" w:type="dxa"/>
            <w:tcBorders>
              <w:top w:val="single" w:sz="4" w:space="0" w:color="auto"/>
              <w:left w:val="single" w:sz="4" w:space="0" w:color="auto"/>
              <w:bottom w:val="single" w:sz="4" w:space="0" w:color="auto"/>
              <w:right w:val="single" w:sz="4" w:space="0" w:color="auto"/>
            </w:tcBorders>
          </w:tcPr>
          <w:p w:rsidR="000F40A9" w:rsidRPr="0076450A" w:rsidRDefault="000F40A9" w:rsidP="00313EC1">
            <w:pPr>
              <w:spacing w:after="0"/>
              <w:rPr>
                <w:noProof/>
                <w:sz w:val="22"/>
              </w:rPr>
            </w:pPr>
          </w:p>
        </w:tc>
        <w:tc>
          <w:tcPr>
            <w:tcW w:w="477" w:type="dxa"/>
            <w:tcBorders>
              <w:top w:val="single" w:sz="4" w:space="0" w:color="auto"/>
              <w:left w:val="single" w:sz="4" w:space="0" w:color="auto"/>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463" w:type="dxa"/>
            <w:tcBorders>
              <w:top w:val="single" w:sz="4" w:space="0" w:color="auto"/>
              <w:left w:val="nil"/>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sz w:val="16"/>
                <w:szCs w:val="16"/>
              </w:rPr>
            </w:pPr>
            <w:r w:rsidRPr="0076450A">
              <w:rPr>
                <w:rFonts w:eastAsia="Times New Roman"/>
                <w:sz w:val="16"/>
                <w:szCs w:val="16"/>
              </w:rPr>
              <w:t>All schools in the district, including charter schools and residential facilities designated as schools</w:t>
            </w:r>
            <w:r w:rsidR="00322494" w:rsidRPr="0076450A">
              <w:rPr>
                <w:rFonts w:eastAsia="Times New Roman"/>
                <w:sz w:val="16"/>
                <w:szCs w:val="16"/>
              </w:rPr>
              <w:t xml:space="preserve"> and virtual schools</w:t>
            </w:r>
            <w:r w:rsidRPr="0076450A">
              <w:rPr>
                <w:rFonts w:eastAsia="Times New Roman"/>
                <w:sz w:val="16"/>
                <w:szCs w:val="16"/>
              </w:rPr>
              <w:t>, and the grades served have been listed under Name of School Attendance Area.  (Note: Pre-kindergarten students should not be included in the data used for determining eligible attendance areas.)</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Residential facilities for N&amp;D children that function as schools (have facility codes and will have or have a school improvement designation) are ranked with other district schools according to percent poverty and receive the appropriate PPA according to their rank.</w:t>
            </w:r>
          </w:p>
        </w:tc>
      </w:tr>
      <w:tr w:rsidR="000F40A9" w:rsidRPr="0076450A" w:rsidTr="00313EC1">
        <w:trPr>
          <w:trHeight w:val="576"/>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Residential facilities for N&amp;D children that function as programs are managed by the district as other alternative programs in the district.  These programs have “0” entered for resident children, poverty numbers, and PPA.  Only the number of participants in reading and mathematics are entered on the school allocation tab (N&amp;D programs are listed after the public schools on the school allocation tab).</w:t>
            </w:r>
          </w:p>
        </w:tc>
      </w:tr>
      <w:tr w:rsidR="000F40A9" w:rsidRPr="0076450A" w:rsidTr="00313EC1">
        <w:trPr>
          <w:trHeight w:val="7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The per-pupil amount allocated to each school receiving funds is correct.  (Note: The district must first allocate funds in rank order to schools or attendance areas above 75-percent FRM.  The remaining schools or attendance areas may then be served in district rank order or in rank order by grade span based on each school’s FRM status.  Schools not receiving funds will have an allocation of “0.”)</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95- percent of the required 1- percent set-aside for parental involvement is recorded in the Parental Involvement column of the School Allocations page, or schools have returned their allocations to the district. </w:t>
            </w:r>
          </w:p>
        </w:tc>
      </w:tr>
      <w:tr w:rsidR="000F40A9" w:rsidRPr="0076450A" w:rsidTr="00313EC1">
        <w:trPr>
          <w:trHeight w:val="144"/>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If schools have returned their allocations to the district, the districtwide assurance form with principal signatures and allocation is attached.</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The schools receiving funds have been listed as targeted-assistance (TAP) or schoolwide (SWP).  (Note: If program type changed from TAP to SWP since last year, check school improvement status; SWP approval letter must be in file.)</w:t>
            </w:r>
          </w:p>
        </w:tc>
      </w:tr>
      <w:tr w:rsidR="000F40A9" w:rsidRPr="0076450A" w:rsidTr="00313EC1">
        <w:trPr>
          <w:trHeight w:val="576"/>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The number of teachers, paraprofessionals, and other staff who are to be paid with Title I funds have been listed.  (Note: Staff entered on the School Allocation page under Teachers, Parapros, Academic Coaches, Other Parapro, Clerical Support Staff, or Other are staff assigned to a specific school [and identified in the budget] rather than working on a districtwide basis; report in whole numbers—do not use fractions.)</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5915EC">
            <w:pPr>
              <w:spacing w:after="0"/>
              <w:rPr>
                <w:rFonts w:eastAsia="Times New Roman"/>
                <w:sz w:val="16"/>
                <w:szCs w:val="16"/>
              </w:rPr>
            </w:pPr>
            <w:r w:rsidRPr="0076450A">
              <w:rPr>
                <w:rFonts w:eastAsia="Times New Roman"/>
                <w:sz w:val="16"/>
                <w:szCs w:val="16"/>
              </w:rPr>
              <w:t xml:space="preserve">The estimated </w:t>
            </w:r>
            <w:r w:rsidR="00E86F27" w:rsidRPr="0076450A">
              <w:rPr>
                <w:rFonts w:eastAsia="Times New Roman"/>
                <w:sz w:val="16"/>
                <w:szCs w:val="16"/>
              </w:rPr>
              <w:t>number of participants to be served in reading and mathematics has</w:t>
            </w:r>
            <w:r w:rsidRPr="0076450A">
              <w:rPr>
                <w:rFonts w:eastAsia="Times New Roman"/>
                <w:sz w:val="16"/>
                <w:szCs w:val="16"/>
              </w:rPr>
              <w:t xml:space="preserve"> been listed.  (Note: </w:t>
            </w:r>
            <w:r w:rsidR="005915EC" w:rsidRPr="0076450A">
              <w:rPr>
                <w:rFonts w:eastAsia="Times New Roman"/>
                <w:sz w:val="16"/>
                <w:szCs w:val="16"/>
              </w:rPr>
              <w:t xml:space="preserve">In a </w:t>
            </w:r>
            <w:r w:rsidRPr="0076450A">
              <w:rPr>
                <w:rFonts w:eastAsia="Times New Roman"/>
                <w:sz w:val="16"/>
                <w:szCs w:val="16"/>
              </w:rPr>
              <w:t>schoolwide school the estimated number of participants to be served</w:t>
            </w:r>
            <w:r w:rsidR="005915EC" w:rsidRPr="0076450A">
              <w:rPr>
                <w:rFonts w:eastAsia="Times New Roman"/>
                <w:sz w:val="16"/>
                <w:szCs w:val="16"/>
              </w:rPr>
              <w:t xml:space="preserve"> in Reading and in Math</w:t>
            </w:r>
            <w:r w:rsidRPr="0076450A">
              <w:rPr>
                <w:rFonts w:eastAsia="Times New Roman"/>
                <w:sz w:val="16"/>
                <w:szCs w:val="16"/>
              </w:rPr>
              <w:t xml:space="preserve"> is the total school enrollment minus pre-kindergarten.)</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5915EC">
            <w:pPr>
              <w:spacing w:after="0"/>
              <w:rPr>
                <w:rFonts w:eastAsia="Times New Roman"/>
                <w:sz w:val="16"/>
                <w:szCs w:val="16"/>
              </w:rPr>
            </w:pPr>
            <w:r w:rsidRPr="0076450A">
              <w:rPr>
                <w:rFonts w:eastAsia="Times New Roman"/>
                <w:sz w:val="16"/>
                <w:szCs w:val="16"/>
              </w:rPr>
              <w:t>The total of the school allocation matches the total Title I funds available to allocate to schools.</w:t>
            </w:r>
            <w:r w:rsidR="005915EC" w:rsidRPr="0076450A">
              <w:rPr>
                <w:rFonts w:eastAsia="Times New Roman"/>
                <w:sz w:val="16"/>
                <w:szCs w:val="16"/>
              </w:rPr>
              <w:t xml:space="preserve"> </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77" w:type="dxa"/>
            <w:tcBorders>
              <w:top w:val="nil"/>
              <w:left w:val="nil"/>
              <w:bottom w:val="single" w:sz="4" w:space="0" w:color="auto"/>
              <w:right w:val="single" w:sz="4" w:space="0" w:color="auto"/>
            </w:tcBorders>
            <w:shd w:val="clear" w:color="auto" w:fill="C0C0C0"/>
            <w:hideMark/>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63"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365" w:type="dxa"/>
            <w:tcBorders>
              <w:top w:val="single" w:sz="4" w:space="0" w:color="auto"/>
              <w:left w:val="nil"/>
              <w:bottom w:val="single" w:sz="4" w:space="0" w:color="auto"/>
              <w:right w:val="single" w:sz="4" w:space="0" w:color="auto"/>
            </w:tcBorders>
            <w:noWrap/>
            <w:vAlign w:val="bottom"/>
            <w:hideMark/>
          </w:tcPr>
          <w:p w:rsidR="000F40A9" w:rsidRPr="0076450A" w:rsidRDefault="000F40A9" w:rsidP="00313EC1">
            <w:pPr>
              <w:spacing w:after="0"/>
              <w:rPr>
                <w:rFonts w:eastAsia="Times New Roman"/>
                <w:b/>
                <w:bCs/>
                <w:sz w:val="16"/>
                <w:szCs w:val="16"/>
              </w:rPr>
            </w:pPr>
            <w:r w:rsidRPr="0076450A">
              <w:rPr>
                <w:rFonts w:eastAsia="Times New Roman"/>
                <w:b/>
                <w:bCs/>
                <w:sz w:val="16"/>
                <w:szCs w:val="16"/>
              </w:rPr>
              <w:t>School Allocations Private School Tab</w:t>
            </w:r>
          </w:p>
        </w:tc>
      </w:tr>
      <w:tr w:rsidR="000F40A9" w:rsidRPr="0076450A" w:rsidTr="00313EC1">
        <w:trPr>
          <w:trHeight w:val="45"/>
        </w:trPr>
        <w:tc>
          <w:tcPr>
            <w:tcW w:w="505" w:type="dxa"/>
            <w:vMerge w:val="restart"/>
            <w:tcBorders>
              <w:top w:val="nil"/>
              <w:left w:val="single" w:sz="4" w:space="0" w:color="auto"/>
              <w:bottom w:val="single" w:sz="4" w:space="0" w:color="000000"/>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single" w:sz="4" w:space="0" w:color="auto"/>
              <w:bottom w:val="nil"/>
              <w:right w:val="single" w:sz="4" w:space="0" w:color="auto"/>
            </w:tcBorders>
          </w:tcPr>
          <w:p w:rsidR="000F40A9" w:rsidRPr="0076450A" w:rsidRDefault="000F40A9" w:rsidP="00313EC1">
            <w:pPr>
              <w:spacing w:after="0"/>
              <w:rPr>
                <w:rFonts w:eastAsia="Times New Roman"/>
                <w:sz w:val="16"/>
                <w:szCs w:val="16"/>
              </w:rPr>
            </w:pPr>
          </w:p>
        </w:tc>
        <w:tc>
          <w:tcPr>
            <w:tcW w:w="463" w:type="dxa"/>
            <w:vMerge w:val="restart"/>
            <w:tcBorders>
              <w:top w:val="nil"/>
              <w:left w:val="single" w:sz="4" w:space="0" w:color="auto"/>
              <w:bottom w:val="single" w:sz="4" w:space="0" w:color="000000"/>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single" w:sz="4" w:space="0" w:color="auto"/>
              <w:bottom w:val="nil"/>
              <w:right w:val="single" w:sz="4" w:space="0" w:color="000000"/>
            </w:tcBorders>
            <w:noWrap/>
            <w:vAlign w:val="bottom"/>
            <w:hideMark/>
          </w:tcPr>
          <w:p w:rsidR="000F40A9" w:rsidRPr="0076450A" w:rsidRDefault="000F40A9" w:rsidP="00C07FD8">
            <w:pPr>
              <w:spacing w:after="0"/>
              <w:rPr>
                <w:rFonts w:eastAsia="Times New Roman"/>
                <w:sz w:val="16"/>
                <w:szCs w:val="16"/>
              </w:rPr>
            </w:pPr>
            <w:r w:rsidRPr="0076450A">
              <w:rPr>
                <w:rFonts w:eastAsia="Times New Roman"/>
                <w:sz w:val="16"/>
                <w:szCs w:val="16"/>
              </w:rPr>
              <w:t xml:space="preserve">Private schools listed, including </w:t>
            </w:r>
            <w:r w:rsidR="00C07FD8" w:rsidRPr="0076450A">
              <w:rPr>
                <w:rFonts w:eastAsia="Times New Roman"/>
                <w:sz w:val="16"/>
                <w:szCs w:val="16"/>
              </w:rPr>
              <w:t xml:space="preserve">PPA number of poverty students, and number of eligible students, </w:t>
            </w:r>
            <w:r w:rsidRPr="0076450A">
              <w:rPr>
                <w:rFonts w:eastAsia="Times New Roman"/>
                <w:sz w:val="16"/>
                <w:szCs w:val="16"/>
              </w:rPr>
              <w:t xml:space="preserve">number </w:t>
            </w:r>
            <w:r w:rsidR="00C07FD8" w:rsidRPr="0076450A">
              <w:rPr>
                <w:rFonts w:eastAsia="Times New Roman"/>
                <w:sz w:val="16"/>
                <w:szCs w:val="16"/>
              </w:rPr>
              <w:t>of</w:t>
            </w:r>
            <w:r w:rsidRPr="0076450A">
              <w:rPr>
                <w:rFonts w:eastAsia="Times New Roman"/>
                <w:sz w:val="16"/>
                <w:szCs w:val="16"/>
              </w:rPr>
              <w:t xml:space="preserve"> estimated participants</w:t>
            </w:r>
            <w:r w:rsidR="00C07FD8" w:rsidRPr="0076450A">
              <w:rPr>
                <w:rFonts w:eastAsia="Times New Roman"/>
                <w:sz w:val="16"/>
                <w:szCs w:val="16"/>
              </w:rPr>
              <w:t xml:space="preserve"> in reading and/or math</w:t>
            </w:r>
            <w:r w:rsidRPr="0076450A">
              <w:rPr>
                <w:rFonts w:eastAsia="Times New Roman"/>
                <w:sz w:val="16"/>
                <w:szCs w:val="16"/>
              </w:rPr>
              <w:t>, and teachers, paraprofessionals, and other staff, if applicable.</w:t>
            </w:r>
          </w:p>
        </w:tc>
      </w:tr>
      <w:tr w:rsidR="000F40A9" w:rsidRPr="0076450A" w:rsidTr="00313EC1">
        <w:trPr>
          <w:trHeight w:val="144"/>
        </w:trPr>
        <w:tc>
          <w:tcPr>
            <w:tcW w:w="505" w:type="dxa"/>
            <w:vMerge/>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477" w:type="dxa"/>
            <w:tcBorders>
              <w:top w:val="nil"/>
              <w:left w:val="single" w:sz="4" w:space="0" w:color="auto"/>
              <w:bottom w:val="single" w:sz="4" w:space="0" w:color="000000"/>
              <w:right w:val="single" w:sz="4" w:space="0" w:color="auto"/>
            </w:tcBorders>
          </w:tcPr>
          <w:p w:rsidR="000F40A9" w:rsidRPr="0076450A" w:rsidRDefault="000F40A9" w:rsidP="00313EC1">
            <w:pPr>
              <w:spacing w:after="0"/>
              <w:rPr>
                <w:rFonts w:eastAsia="Times New Roman"/>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8365" w:type="dxa"/>
            <w:tcBorders>
              <w:top w:val="nil"/>
              <w:left w:val="nil"/>
              <w:bottom w:val="single" w:sz="4" w:space="0" w:color="auto"/>
              <w:right w:val="single" w:sz="4" w:space="0" w:color="000000"/>
            </w:tcBorders>
            <w:noWrap/>
            <w:vAlign w:val="bottom"/>
            <w:hideMark/>
          </w:tcPr>
          <w:p w:rsidR="000F40A9" w:rsidRPr="0076450A" w:rsidRDefault="000F40A9" w:rsidP="00C07FD8">
            <w:pPr>
              <w:spacing w:after="0"/>
              <w:rPr>
                <w:rFonts w:eastAsia="Times New Roman"/>
                <w:sz w:val="16"/>
                <w:szCs w:val="16"/>
              </w:rPr>
            </w:pPr>
            <w:r w:rsidRPr="0076450A">
              <w:rPr>
                <w:rFonts w:eastAsia="Times New Roman"/>
                <w:sz w:val="16"/>
                <w:szCs w:val="16"/>
              </w:rPr>
              <w:t xml:space="preserve">(Note: number eligible </w:t>
            </w:r>
            <w:r w:rsidR="00C07FD8" w:rsidRPr="0076450A">
              <w:rPr>
                <w:rFonts w:eastAsia="Times New Roman"/>
                <w:sz w:val="16"/>
                <w:szCs w:val="16"/>
              </w:rPr>
              <w:t>equals the total number of students that are eligible for services based on the objective, educationally related multiple selection criteria</w:t>
            </w:r>
            <w:r w:rsidRPr="0076450A">
              <w:rPr>
                <w:rFonts w:eastAsia="Times New Roman"/>
                <w:sz w:val="16"/>
                <w:szCs w:val="16"/>
              </w:rPr>
              <w:t>)</w:t>
            </w:r>
          </w:p>
        </w:tc>
      </w:tr>
      <w:tr w:rsidR="000F40A9" w:rsidRPr="0076450A" w:rsidTr="00313EC1">
        <w:trPr>
          <w:trHeight w:val="144"/>
        </w:trPr>
        <w:tc>
          <w:tcPr>
            <w:tcW w:w="505" w:type="dxa"/>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477" w:type="dxa"/>
            <w:tcBorders>
              <w:top w:val="nil"/>
              <w:left w:val="single" w:sz="4" w:space="0" w:color="auto"/>
              <w:bottom w:val="single" w:sz="4" w:space="0" w:color="000000"/>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8365" w:type="dxa"/>
            <w:tcBorders>
              <w:top w:val="nil"/>
              <w:left w:val="nil"/>
              <w:bottom w:val="single" w:sz="4" w:space="0" w:color="auto"/>
              <w:right w:val="single" w:sz="4" w:space="0" w:color="000000"/>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The Evaluation form, Affirmation of Consultation of Services form, and Affirmation of Equitable Services form are attached for the previous year’s services. </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shd w:val="clear" w:color="auto" w:fill="C0C0C0"/>
            <w:noWrap/>
            <w:vAlign w:val="center"/>
            <w:hideMark/>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77" w:type="dxa"/>
            <w:tcBorders>
              <w:top w:val="nil"/>
              <w:left w:val="nil"/>
              <w:bottom w:val="single" w:sz="4" w:space="0" w:color="auto"/>
              <w:right w:val="single" w:sz="4" w:space="0" w:color="auto"/>
            </w:tcBorders>
            <w:shd w:val="clear" w:color="auto" w:fill="C0C0C0"/>
            <w:vAlign w:val="center"/>
            <w:hideMark/>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63" w:type="dxa"/>
            <w:tcBorders>
              <w:top w:val="nil"/>
              <w:left w:val="single" w:sz="4" w:space="0" w:color="auto"/>
              <w:bottom w:val="single" w:sz="4" w:space="0" w:color="auto"/>
              <w:right w:val="single" w:sz="4" w:space="0" w:color="auto"/>
            </w:tcBorders>
            <w:shd w:val="clear" w:color="auto" w:fill="C0C0C0"/>
            <w:noWrap/>
            <w:vAlign w:val="center"/>
            <w:hideMark/>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365" w:type="dxa"/>
            <w:tcBorders>
              <w:top w:val="single" w:sz="4" w:space="0" w:color="auto"/>
              <w:left w:val="nil"/>
              <w:bottom w:val="single" w:sz="4" w:space="0" w:color="auto"/>
              <w:right w:val="single" w:sz="4" w:space="0" w:color="000000"/>
            </w:tcBorders>
            <w:noWrap/>
            <w:vAlign w:val="bottom"/>
            <w:hideMark/>
          </w:tcPr>
          <w:p w:rsidR="000F40A9" w:rsidRPr="0076450A" w:rsidRDefault="000F40A9" w:rsidP="00313EC1">
            <w:pPr>
              <w:spacing w:after="0"/>
              <w:rPr>
                <w:rFonts w:eastAsia="Times New Roman"/>
                <w:b/>
                <w:bCs/>
                <w:sz w:val="16"/>
                <w:szCs w:val="16"/>
              </w:rPr>
            </w:pPr>
            <w:r w:rsidRPr="0076450A">
              <w:rPr>
                <w:rFonts w:eastAsia="Times New Roman"/>
                <w:b/>
                <w:bCs/>
                <w:sz w:val="16"/>
                <w:szCs w:val="16"/>
              </w:rPr>
              <w:t>Budget Pages Tab</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All allocated funds are budgeted (there are no unbudgeted funds).</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Funds are allocated to the Schoolwide Consolidated Funds Program and budgeted in the schoolwide program (if the district consolidates funds in Fund 400). </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District Schoolwide Summary worksheet has been uploaded (if the district consolidates funds in Fund 400). </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DC2403">
            <w:pPr>
              <w:spacing w:after="0"/>
              <w:rPr>
                <w:rFonts w:eastAsia="Times New Roman"/>
                <w:sz w:val="16"/>
                <w:szCs w:val="16"/>
              </w:rPr>
            </w:pPr>
            <w:r w:rsidRPr="0076450A">
              <w:rPr>
                <w:rFonts w:eastAsia="Times New Roman"/>
                <w:sz w:val="16"/>
                <w:szCs w:val="16"/>
              </w:rPr>
              <w:t xml:space="preserve">Funds for the district’s </w:t>
            </w:r>
            <w:r w:rsidR="00DC2403">
              <w:rPr>
                <w:rFonts w:eastAsia="Times New Roman"/>
                <w:sz w:val="16"/>
                <w:szCs w:val="16"/>
              </w:rPr>
              <w:t>F</w:t>
            </w:r>
            <w:r w:rsidR="005559D4" w:rsidRPr="0076450A">
              <w:rPr>
                <w:rFonts w:eastAsia="Times New Roman"/>
                <w:sz w:val="16"/>
                <w:szCs w:val="16"/>
              </w:rPr>
              <w:t>lexible Learning Program</w:t>
            </w:r>
            <w:r w:rsidRPr="0076450A">
              <w:rPr>
                <w:rFonts w:eastAsia="Times New Roman"/>
                <w:sz w:val="16"/>
                <w:szCs w:val="16"/>
              </w:rPr>
              <w:t xml:space="preserve"> (FLP) are listed as 1000–300 if contracted and 1000–199 if district is provider.</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trike/>
                <w:color w:val="FF0000"/>
                <w:sz w:val="16"/>
                <w:szCs w:val="16"/>
              </w:rPr>
            </w:pPr>
            <w:r w:rsidRPr="0076450A">
              <w:rPr>
                <w:rFonts w:eastAsia="Times New Roman"/>
                <w:sz w:val="16"/>
                <w:szCs w:val="16"/>
              </w:rPr>
              <w:t>Priority Schools have budgeted 3- to 5-percent of their school allocation for professional learning (function 2210).</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tcPr>
          <w:p w:rsidR="005D772D" w:rsidRPr="0076450A" w:rsidRDefault="005D772D" w:rsidP="00FB2367">
            <w:pPr>
              <w:spacing w:after="0"/>
              <w:rPr>
                <w:rFonts w:eastAsia="Times New Roman"/>
                <w:sz w:val="16"/>
                <w:szCs w:val="16"/>
              </w:rPr>
            </w:pPr>
            <w:r w:rsidRPr="0076450A">
              <w:rPr>
                <w:rFonts w:eastAsia="Times New Roman"/>
                <w:sz w:val="16"/>
                <w:szCs w:val="16"/>
              </w:rPr>
              <w:t>Indirect cost is budgeted to 23</w:t>
            </w:r>
            <w:bookmarkStart w:id="2" w:name="_GoBack"/>
            <w:bookmarkEnd w:id="2"/>
            <w:r w:rsidRPr="0076450A">
              <w:rPr>
                <w:rFonts w:eastAsia="Times New Roman"/>
                <w:sz w:val="16"/>
                <w:szCs w:val="16"/>
              </w:rPr>
              <w:t>00-880 (if district charges Indirect Cost).</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tcPr>
          <w:p w:rsidR="005D772D" w:rsidRPr="0076450A" w:rsidRDefault="005D772D" w:rsidP="00FB2367">
            <w:pPr>
              <w:spacing w:after="0"/>
              <w:rPr>
                <w:rFonts w:eastAsia="Times New Roman"/>
                <w:sz w:val="16"/>
                <w:szCs w:val="16"/>
              </w:rPr>
            </w:pPr>
            <w:r w:rsidRPr="0076450A">
              <w:rPr>
                <w:rFonts w:eastAsia="Times New Roman"/>
                <w:sz w:val="16"/>
                <w:szCs w:val="16"/>
              </w:rPr>
              <w:t>Audit cost is budgeted to 2300-300 (if district charges Audit Cost).</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Administrative costs are budgeted in function 2230.</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Object code “700” – PROPERTY – CAPITAL OUTLAY CAUTION!! Check with your program manager prior to approval.</w:t>
            </w:r>
          </w:p>
        </w:tc>
      </w:tr>
    </w:tbl>
    <w:p w:rsidR="000F40A9" w:rsidRPr="0076450A" w:rsidRDefault="000F40A9" w:rsidP="000F40A9">
      <w:pPr>
        <w:spacing w:after="200" w:line="276" w:lineRule="auto"/>
        <w:rPr>
          <w:sz w:val="16"/>
          <w:szCs w:val="16"/>
        </w:rPr>
      </w:pPr>
    </w:p>
    <w:p w:rsidR="0076450A" w:rsidRPr="0076450A" w:rsidRDefault="0076450A" w:rsidP="00A20838">
      <w:pPr>
        <w:tabs>
          <w:tab w:val="left" w:pos="9090"/>
        </w:tabs>
        <w:ind w:right="-738"/>
        <w:rPr>
          <w:sz w:val="16"/>
          <w:szCs w:val="16"/>
          <w:u w:val="single"/>
        </w:rPr>
      </w:pPr>
      <w:r w:rsidRPr="0076450A">
        <w:rPr>
          <w:sz w:val="16"/>
          <w:szCs w:val="16"/>
        </w:rPr>
        <w:t>DISTRICT:</w:t>
      </w:r>
      <w:r w:rsidRPr="0076450A">
        <w:rPr>
          <w:sz w:val="16"/>
          <w:szCs w:val="16"/>
          <w:u w:val="single"/>
        </w:rPr>
        <w:t xml:space="preserve"> _______________________ </w:t>
      </w:r>
      <w:r w:rsidRPr="0076450A">
        <w:rPr>
          <w:sz w:val="16"/>
          <w:szCs w:val="16"/>
        </w:rPr>
        <w:t xml:space="preserve">Superintendent: _________________________ Title </w:t>
      </w:r>
      <w:proofErr w:type="gramStart"/>
      <w:r w:rsidRPr="0076450A">
        <w:rPr>
          <w:sz w:val="16"/>
          <w:szCs w:val="16"/>
        </w:rPr>
        <w:t>I</w:t>
      </w:r>
      <w:proofErr w:type="gramEnd"/>
      <w:r w:rsidRPr="0076450A">
        <w:rPr>
          <w:sz w:val="16"/>
          <w:szCs w:val="16"/>
        </w:rPr>
        <w:t xml:space="preserve"> Director: </w:t>
      </w:r>
      <w:r w:rsidRPr="0076450A">
        <w:rPr>
          <w:sz w:val="16"/>
          <w:szCs w:val="16"/>
          <w:u w:val="single"/>
        </w:rPr>
        <w:t>________________________</w:t>
      </w:r>
      <w:r w:rsidRPr="0076450A">
        <w:rPr>
          <w:sz w:val="16"/>
          <w:szCs w:val="16"/>
        </w:rPr>
        <w:t xml:space="preserve">    FY: 2016</w:t>
      </w:r>
    </w:p>
    <w:p w:rsidR="0076450A" w:rsidRPr="0076450A" w:rsidRDefault="0076450A" w:rsidP="0076450A">
      <w:pPr>
        <w:ind w:right="-288"/>
        <w:rPr>
          <w:i/>
          <w:sz w:val="16"/>
          <w:szCs w:val="16"/>
        </w:rPr>
      </w:pPr>
      <w:r w:rsidRPr="0076450A">
        <w:rPr>
          <w:i/>
          <w:sz w:val="16"/>
          <w:szCs w:val="16"/>
        </w:rPr>
        <w:lastRenderedPageBreak/>
        <w:t xml:space="preserve">This checklist is used by the Georgia Department of Education (Department) to ensure that Title I, Part </w:t>
      </w:r>
      <w:proofErr w:type="gramStart"/>
      <w:r w:rsidRPr="0076450A">
        <w:rPr>
          <w:i/>
          <w:sz w:val="16"/>
          <w:szCs w:val="16"/>
        </w:rPr>
        <w:t>A</w:t>
      </w:r>
      <w:proofErr w:type="gramEnd"/>
      <w:r w:rsidRPr="0076450A">
        <w:rPr>
          <w:i/>
          <w:sz w:val="16"/>
          <w:szCs w:val="16"/>
        </w:rPr>
        <w:t xml:space="preserve"> applications are evaluated consistently before approval.</w:t>
      </w:r>
    </w:p>
    <w:tbl>
      <w:tblPr>
        <w:tblW w:w="9906" w:type="dxa"/>
        <w:tblInd w:w="108" w:type="dxa"/>
        <w:tblLook w:val="04A0" w:firstRow="1" w:lastRow="0" w:firstColumn="1" w:lastColumn="0" w:noHBand="0" w:noVBand="1"/>
      </w:tblPr>
      <w:tblGrid>
        <w:gridCol w:w="510"/>
        <w:gridCol w:w="492"/>
        <w:gridCol w:w="456"/>
        <w:gridCol w:w="8448"/>
      </w:tblGrid>
      <w:tr w:rsidR="000F40A9" w:rsidRPr="0076450A" w:rsidTr="00313EC1">
        <w:trPr>
          <w:trHeight w:val="21"/>
        </w:trPr>
        <w:tc>
          <w:tcPr>
            <w:tcW w:w="5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82" w:type="dxa"/>
            <w:tcBorders>
              <w:top w:val="single" w:sz="4" w:space="0" w:color="auto"/>
              <w:left w:val="nil"/>
              <w:bottom w:val="single" w:sz="4" w:space="0" w:color="auto"/>
              <w:right w:val="single" w:sz="4" w:space="0" w:color="auto"/>
            </w:tcBorders>
            <w:shd w:val="clear" w:color="auto" w:fill="C0C0C0"/>
            <w:vAlign w:val="center"/>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5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458"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b/>
                <w:bCs/>
                <w:i/>
                <w:sz w:val="16"/>
                <w:szCs w:val="16"/>
              </w:rPr>
            </w:pPr>
            <w:r w:rsidRPr="0076450A">
              <w:rPr>
                <w:rFonts w:eastAsia="Times New Roman"/>
                <w:b/>
                <w:bCs/>
                <w:sz w:val="16"/>
                <w:szCs w:val="16"/>
              </w:rPr>
              <w:t>Budget Pages Tab (</w:t>
            </w:r>
            <w:r w:rsidRPr="0076450A">
              <w:rPr>
                <w:rFonts w:eastAsia="Times New Roman"/>
                <w:b/>
                <w:bCs/>
                <w:i/>
                <w:sz w:val="16"/>
                <w:szCs w:val="16"/>
              </w:rPr>
              <w:t>continued)</w:t>
            </w:r>
          </w:p>
        </w:tc>
      </w:tr>
      <w:tr w:rsidR="000F40A9" w:rsidRPr="0076450A" w:rsidTr="00313EC1">
        <w:trPr>
          <w:trHeight w:val="2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482" w:type="dxa"/>
            <w:tcBorders>
              <w:top w:val="single" w:sz="4" w:space="0" w:color="auto"/>
              <w:left w:val="nil"/>
              <w:bottom w:val="single" w:sz="4" w:space="0" w:color="auto"/>
              <w:right w:val="single" w:sz="4" w:space="0" w:color="auto"/>
            </w:tcBorders>
            <w:shd w:val="clear" w:color="auto" w:fill="auto"/>
          </w:tcPr>
          <w:p w:rsidR="000F40A9" w:rsidRPr="0076450A" w:rsidRDefault="000F40A9"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8458"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bCs/>
                <w:sz w:val="16"/>
                <w:szCs w:val="16"/>
              </w:rPr>
            </w:pPr>
            <w:r w:rsidRPr="0076450A">
              <w:rPr>
                <w:rFonts w:eastAsia="Times New Roman"/>
                <w:bCs/>
                <w:sz w:val="16"/>
                <w:szCs w:val="16"/>
              </w:rPr>
              <w:t>Budget Details and Budget Summary reports reviewed.</w:t>
            </w:r>
          </w:p>
        </w:tc>
      </w:tr>
      <w:tr w:rsidR="000F40A9" w:rsidRPr="0076450A" w:rsidTr="00313EC1">
        <w:trPr>
          <w:trHeight w:val="2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482" w:type="dxa"/>
            <w:tcBorders>
              <w:top w:val="single" w:sz="4" w:space="0" w:color="auto"/>
              <w:left w:val="nil"/>
              <w:bottom w:val="single" w:sz="4" w:space="0" w:color="auto"/>
              <w:right w:val="single" w:sz="4" w:space="0" w:color="auto"/>
            </w:tcBorders>
            <w:shd w:val="clear" w:color="auto" w:fill="auto"/>
          </w:tcPr>
          <w:p w:rsidR="000F40A9" w:rsidRPr="0076450A" w:rsidRDefault="000F40A9"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8458"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bCs/>
                <w:sz w:val="16"/>
                <w:szCs w:val="16"/>
              </w:rPr>
            </w:pPr>
            <w:r w:rsidRPr="0076450A">
              <w:rPr>
                <w:rFonts w:eastAsia="Times New Roman"/>
                <w:bCs/>
                <w:sz w:val="16"/>
                <w:szCs w:val="16"/>
              </w:rPr>
              <w:t xml:space="preserve">Approved Educational Field Trip Budget Approval form is completed and attached if funds are being used for field trips. </w:t>
            </w:r>
          </w:p>
        </w:tc>
      </w:tr>
      <w:tr w:rsidR="000F40A9" w:rsidRPr="0076450A" w:rsidTr="00313EC1">
        <w:trPr>
          <w:trHeight w:val="21"/>
        </w:trPr>
        <w:tc>
          <w:tcPr>
            <w:tcW w:w="510"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82" w:type="dxa"/>
            <w:tcBorders>
              <w:top w:val="nil"/>
              <w:left w:val="nil"/>
              <w:bottom w:val="single" w:sz="4" w:space="0" w:color="auto"/>
              <w:right w:val="single" w:sz="4" w:space="0" w:color="auto"/>
            </w:tcBorders>
            <w:shd w:val="clear" w:color="auto" w:fill="C0C0C0"/>
            <w:hideMark/>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56"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458"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b/>
                <w:bCs/>
                <w:sz w:val="16"/>
                <w:szCs w:val="16"/>
              </w:rPr>
            </w:pPr>
            <w:r w:rsidRPr="0076450A">
              <w:rPr>
                <w:rFonts w:eastAsia="Times New Roman"/>
                <w:b/>
                <w:bCs/>
                <w:sz w:val="16"/>
                <w:szCs w:val="16"/>
              </w:rPr>
              <w:t>Assurances Tab</w:t>
            </w:r>
          </w:p>
        </w:tc>
      </w:tr>
      <w:tr w:rsidR="000F40A9" w:rsidRPr="0076450A" w:rsidTr="00510507">
        <w:trPr>
          <w:trHeight w:val="21"/>
        </w:trPr>
        <w:tc>
          <w:tcPr>
            <w:tcW w:w="510"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82"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56"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458"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Superintendent must accept assurances before the sign-off can be completed and a copy of assurances will be filed in district folder.</w:t>
            </w:r>
          </w:p>
        </w:tc>
      </w:tr>
      <w:tr w:rsidR="00322494" w:rsidRPr="0076450A" w:rsidTr="00510507">
        <w:trPr>
          <w:trHeight w:val="21"/>
        </w:trPr>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22494" w:rsidRPr="0076450A" w:rsidRDefault="00A829A1" w:rsidP="00313EC1">
            <w:pPr>
              <w:spacing w:after="0"/>
              <w:rPr>
                <w:rFonts w:eastAsia="Times New Roman"/>
                <w:sz w:val="16"/>
                <w:szCs w:val="16"/>
              </w:rPr>
            </w:pPr>
            <w:r w:rsidRPr="0076450A">
              <w:rPr>
                <w:rFonts w:eastAsia="Times New Roman"/>
                <w:sz w:val="16"/>
                <w:szCs w:val="16"/>
              </w:rPr>
              <w:t>Yes</w:t>
            </w:r>
          </w:p>
        </w:tc>
        <w:tc>
          <w:tcPr>
            <w:tcW w:w="482" w:type="dxa"/>
            <w:tcBorders>
              <w:top w:val="single" w:sz="4" w:space="0" w:color="auto"/>
              <w:left w:val="nil"/>
              <w:bottom w:val="single" w:sz="4" w:space="0" w:color="auto"/>
              <w:right w:val="single" w:sz="4" w:space="0" w:color="auto"/>
            </w:tcBorders>
            <w:shd w:val="clear" w:color="auto" w:fill="BFBFBF" w:themeFill="background1" w:themeFillShade="BF"/>
          </w:tcPr>
          <w:p w:rsidR="00322494" w:rsidRPr="0076450A" w:rsidRDefault="00A829A1" w:rsidP="00313EC1">
            <w:pPr>
              <w:spacing w:after="0"/>
              <w:rPr>
                <w:rFonts w:eastAsia="Times New Roman"/>
                <w:sz w:val="16"/>
                <w:szCs w:val="16"/>
              </w:rPr>
            </w:pPr>
            <w:r w:rsidRPr="0076450A">
              <w:rPr>
                <w:rFonts w:eastAsia="Times New Roman"/>
                <w:sz w:val="16"/>
                <w:szCs w:val="16"/>
              </w:rPr>
              <w:t>N/A</w:t>
            </w:r>
          </w:p>
        </w:tc>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22494" w:rsidRPr="0076450A" w:rsidRDefault="00A829A1" w:rsidP="00313EC1">
            <w:pPr>
              <w:spacing w:after="0"/>
              <w:rPr>
                <w:rFonts w:eastAsia="Times New Roman"/>
                <w:sz w:val="16"/>
                <w:szCs w:val="16"/>
              </w:rPr>
            </w:pPr>
            <w:r w:rsidRPr="0076450A">
              <w:rPr>
                <w:rFonts w:eastAsia="Times New Roman"/>
                <w:sz w:val="16"/>
                <w:szCs w:val="16"/>
              </w:rPr>
              <w:t>No</w:t>
            </w:r>
          </w:p>
        </w:tc>
        <w:tc>
          <w:tcPr>
            <w:tcW w:w="8458" w:type="dxa"/>
            <w:tcBorders>
              <w:top w:val="single" w:sz="4" w:space="0" w:color="auto"/>
              <w:left w:val="nil"/>
              <w:bottom w:val="single" w:sz="4" w:space="0" w:color="auto"/>
              <w:right w:val="single" w:sz="4" w:space="0" w:color="auto"/>
            </w:tcBorders>
            <w:vAlign w:val="bottom"/>
          </w:tcPr>
          <w:p w:rsidR="00322494" w:rsidRPr="0076450A" w:rsidRDefault="00510507" w:rsidP="00313EC1">
            <w:pPr>
              <w:spacing w:after="0"/>
              <w:rPr>
                <w:rFonts w:eastAsia="Times New Roman"/>
                <w:b/>
                <w:sz w:val="16"/>
                <w:szCs w:val="16"/>
              </w:rPr>
            </w:pPr>
            <w:r w:rsidRPr="0076450A">
              <w:rPr>
                <w:rFonts w:eastAsia="Times New Roman"/>
                <w:b/>
                <w:sz w:val="16"/>
                <w:szCs w:val="16"/>
              </w:rPr>
              <w:t>Attachments</w:t>
            </w:r>
          </w:p>
        </w:tc>
      </w:tr>
      <w:tr w:rsidR="0032249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322494" w:rsidRPr="0076450A" w:rsidRDefault="0032249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322494" w:rsidRPr="0076450A" w:rsidRDefault="00510507" w:rsidP="00313EC1">
            <w:pPr>
              <w:spacing w:after="0"/>
              <w:rPr>
                <w:rFonts w:eastAsia="Times New Roman"/>
                <w:sz w:val="16"/>
                <w:szCs w:val="16"/>
              </w:rPr>
            </w:pPr>
            <w:r w:rsidRPr="0076450A">
              <w:rPr>
                <w:rFonts w:eastAsia="Times New Roman"/>
                <w:sz w:val="16"/>
                <w:szCs w:val="16"/>
              </w:rPr>
              <w:t>Statement verifying that budget items are justified in CLIP, FLP, SWP plans, Targeted Assistance Plans</w:t>
            </w:r>
          </w:p>
        </w:tc>
      </w:tr>
      <w:tr w:rsidR="0032249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322494" w:rsidRPr="0076450A" w:rsidRDefault="0032249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322494" w:rsidRPr="0076450A" w:rsidRDefault="00510507" w:rsidP="00313EC1">
            <w:pPr>
              <w:spacing w:after="0"/>
              <w:rPr>
                <w:rFonts w:eastAsia="Times New Roman"/>
                <w:sz w:val="16"/>
                <w:szCs w:val="16"/>
              </w:rPr>
            </w:pPr>
            <w:r w:rsidRPr="0076450A">
              <w:rPr>
                <w:rFonts w:eastAsia="Times New Roman"/>
                <w:sz w:val="16"/>
                <w:szCs w:val="16"/>
              </w:rPr>
              <w:t xml:space="preserve">Community Eligibility Provision (CEP) </w:t>
            </w:r>
            <w:r w:rsidR="00A54BE4" w:rsidRPr="0076450A">
              <w:rPr>
                <w:rFonts w:eastAsia="Times New Roman"/>
                <w:sz w:val="16"/>
                <w:szCs w:val="16"/>
              </w:rPr>
              <w:t>- Title I CEP data worksheet with school food nutrition department signature and date</w:t>
            </w:r>
          </w:p>
        </w:tc>
      </w:tr>
      <w:tr w:rsidR="005F249D"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5F249D" w:rsidRPr="0076450A" w:rsidRDefault="005F249D"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5F249D" w:rsidRPr="0076450A" w:rsidRDefault="005F249D"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5F249D" w:rsidRPr="0076450A" w:rsidRDefault="005F249D"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5F249D" w:rsidRPr="0076450A" w:rsidRDefault="005F249D" w:rsidP="00313EC1">
            <w:pPr>
              <w:spacing w:after="0"/>
              <w:rPr>
                <w:rFonts w:eastAsia="Times New Roman"/>
                <w:sz w:val="16"/>
                <w:szCs w:val="16"/>
              </w:rPr>
            </w:pPr>
            <w:r w:rsidRPr="0076450A">
              <w:rPr>
                <w:rFonts w:eastAsia="Times New Roman"/>
                <w:sz w:val="16"/>
                <w:szCs w:val="16"/>
              </w:rPr>
              <w:t>Extended Eligible Attendance Area  Worksheet if LEA implements CEP</w:t>
            </w:r>
          </w:p>
        </w:tc>
      </w:tr>
      <w:tr w:rsidR="00A54BE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A54BE4" w:rsidRPr="0076450A" w:rsidRDefault="00A54BE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A54BE4" w:rsidRPr="0076450A" w:rsidRDefault="00A54BE4" w:rsidP="00313EC1">
            <w:pPr>
              <w:spacing w:after="0"/>
              <w:rPr>
                <w:rFonts w:eastAsia="Times New Roman"/>
                <w:sz w:val="16"/>
                <w:szCs w:val="16"/>
              </w:rPr>
            </w:pPr>
            <w:r w:rsidRPr="0076450A">
              <w:rPr>
                <w:rFonts w:eastAsia="Times New Roman"/>
                <w:sz w:val="16"/>
                <w:szCs w:val="16"/>
              </w:rPr>
              <w:t>Districtwide Parent Activity Assurance Form</w:t>
            </w:r>
          </w:p>
        </w:tc>
      </w:tr>
      <w:tr w:rsidR="00A54BE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A54BE4" w:rsidRPr="0076450A" w:rsidRDefault="00A54BE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A54BE4" w:rsidRPr="0076450A" w:rsidRDefault="00A54BE4" w:rsidP="00313EC1">
            <w:pPr>
              <w:spacing w:after="0"/>
              <w:rPr>
                <w:rFonts w:eastAsia="Times New Roman"/>
                <w:sz w:val="16"/>
                <w:szCs w:val="16"/>
              </w:rPr>
            </w:pPr>
            <w:r w:rsidRPr="0076450A">
              <w:rPr>
                <w:rFonts w:eastAsia="Times New Roman"/>
                <w:sz w:val="16"/>
                <w:szCs w:val="16"/>
              </w:rPr>
              <w:t>Carryover Calculation Worksheet for Parent Involvement, FLP, and Private Schools</w:t>
            </w:r>
          </w:p>
        </w:tc>
      </w:tr>
      <w:tr w:rsidR="00A54BE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A54BE4" w:rsidRPr="0076450A" w:rsidRDefault="00A54BE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A54BE4" w:rsidRPr="0076450A" w:rsidRDefault="00F16421" w:rsidP="00313EC1">
            <w:pPr>
              <w:spacing w:after="0"/>
              <w:rPr>
                <w:rFonts w:eastAsia="Times New Roman"/>
                <w:sz w:val="16"/>
                <w:szCs w:val="16"/>
              </w:rPr>
            </w:pPr>
            <w:r w:rsidRPr="0076450A">
              <w:rPr>
                <w:rFonts w:eastAsia="Times New Roman"/>
                <w:sz w:val="16"/>
                <w:szCs w:val="16"/>
              </w:rPr>
              <w:t>Private School Affirmation of Equitable Services</w:t>
            </w:r>
          </w:p>
        </w:tc>
      </w:tr>
      <w:tr w:rsidR="00F16421"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F16421" w:rsidRPr="0076450A" w:rsidRDefault="00F16421" w:rsidP="00313EC1">
            <w:pPr>
              <w:spacing w:after="0"/>
              <w:rPr>
                <w:rFonts w:eastAsia="Times New Roman"/>
                <w:sz w:val="16"/>
                <w:szCs w:val="16"/>
              </w:rPr>
            </w:pPr>
            <w:r w:rsidRPr="0076450A">
              <w:rPr>
                <w:rFonts w:eastAsia="Times New Roman"/>
                <w:sz w:val="16"/>
                <w:szCs w:val="16"/>
              </w:rPr>
              <w:t>Private School Program Evaluation from Previous Year</w:t>
            </w:r>
          </w:p>
        </w:tc>
      </w:tr>
      <w:tr w:rsidR="00F16421"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F16421" w:rsidRPr="0076450A" w:rsidRDefault="00F16421" w:rsidP="00313EC1">
            <w:pPr>
              <w:spacing w:after="0"/>
              <w:rPr>
                <w:rFonts w:eastAsia="Times New Roman"/>
                <w:sz w:val="16"/>
                <w:szCs w:val="16"/>
              </w:rPr>
            </w:pPr>
            <w:r w:rsidRPr="0076450A">
              <w:rPr>
                <w:rFonts w:eastAsia="Times New Roman"/>
                <w:sz w:val="16"/>
                <w:szCs w:val="16"/>
              </w:rPr>
              <w:t>Private School Affirmation of Consultation</w:t>
            </w:r>
          </w:p>
        </w:tc>
      </w:tr>
      <w:tr w:rsidR="00F16421"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F16421" w:rsidRPr="00C62CC7" w:rsidRDefault="00F16421" w:rsidP="00313EC1">
            <w:pPr>
              <w:spacing w:after="0"/>
              <w:rPr>
                <w:rFonts w:eastAsia="Times New Roman"/>
                <w:sz w:val="16"/>
                <w:szCs w:val="16"/>
              </w:rPr>
            </w:pPr>
            <w:r w:rsidRPr="00C62CC7">
              <w:rPr>
                <w:rFonts w:eastAsia="Times New Roman"/>
                <w:sz w:val="16"/>
                <w:szCs w:val="16"/>
              </w:rPr>
              <w:t>Statement of Class Size and Method being used (Title 20/No Waivers System, Charter system, or Strategic Waivers School System</w:t>
            </w:r>
            <w:r w:rsidR="00255556" w:rsidRPr="00C62CC7">
              <w:rPr>
                <w:rFonts w:eastAsia="Times New Roman"/>
                <w:sz w:val="16"/>
                <w:szCs w:val="16"/>
              </w:rPr>
              <w:t>)</w:t>
            </w:r>
          </w:p>
        </w:tc>
      </w:tr>
      <w:tr w:rsidR="00F16421"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F16421" w:rsidRPr="00C62CC7" w:rsidRDefault="00F16421" w:rsidP="00313EC1">
            <w:pPr>
              <w:spacing w:after="0"/>
              <w:rPr>
                <w:rFonts w:eastAsia="Times New Roman"/>
                <w:sz w:val="16"/>
                <w:szCs w:val="16"/>
              </w:rPr>
            </w:pPr>
            <w:r w:rsidRPr="00C62CC7">
              <w:rPr>
                <w:rFonts w:eastAsia="Times New Roman"/>
                <w:sz w:val="16"/>
                <w:szCs w:val="16"/>
              </w:rPr>
              <w:t>Justification narrative for Class size Reduction teachers</w:t>
            </w:r>
          </w:p>
        </w:tc>
      </w:tr>
      <w:tr w:rsidR="00F16421"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F16421" w:rsidRPr="00C62CC7" w:rsidRDefault="00F16421" w:rsidP="00313EC1">
            <w:pPr>
              <w:spacing w:after="0"/>
              <w:rPr>
                <w:rFonts w:eastAsia="Times New Roman"/>
                <w:sz w:val="16"/>
                <w:szCs w:val="16"/>
              </w:rPr>
            </w:pPr>
            <w:r w:rsidRPr="00C62CC7">
              <w:rPr>
                <w:rFonts w:eastAsia="Times New Roman"/>
                <w:sz w:val="16"/>
                <w:szCs w:val="16"/>
              </w:rPr>
              <w:t>Class Size Reduction worksheet</w:t>
            </w:r>
          </w:p>
        </w:tc>
      </w:tr>
      <w:tr w:rsidR="00F16421"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F16421" w:rsidRPr="00C62CC7" w:rsidRDefault="00F43191" w:rsidP="00313EC1">
            <w:pPr>
              <w:spacing w:after="0"/>
              <w:rPr>
                <w:rFonts w:eastAsia="Times New Roman"/>
                <w:sz w:val="16"/>
                <w:szCs w:val="16"/>
              </w:rPr>
            </w:pPr>
            <w:r w:rsidRPr="00C62CC7">
              <w:rPr>
                <w:rFonts w:eastAsia="Times New Roman"/>
                <w:sz w:val="16"/>
                <w:szCs w:val="16"/>
              </w:rPr>
              <w:t>Master schedules in chart form</w:t>
            </w:r>
            <w:r w:rsidR="00F16421" w:rsidRPr="00C62CC7">
              <w:rPr>
                <w:rFonts w:eastAsia="Times New Roman"/>
                <w:sz w:val="16"/>
                <w:szCs w:val="16"/>
              </w:rPr>
              <w:t xml:space="preserve"> for Grades and/or Subject Areas </w:t>
            </w:r>
            <w:r w:rsidRPr="00C62CC7">
              <w:rPr>
                <w:rFonts w:eastAsia="Times New Roman"/>
                <w:sz w:val="16"/>
                <w:szCs w:val="16"/>
              </w:rPr>
              <w:t>to support class size reduction</w:t>
            </w:r>
          </w:p>
        </w:tc>
      </w:tr>
      <w:tr w:rsidR="00BF11EA"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BF11EA" w:rsidRPr="0076450A" w:rsidRDefault="00BF11EA"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BF11EA" w:rsidRPr="00C62CC7" w:rsidRDefault="00611AB7" w:rsidP="00611AB7">
            <w:pPr>
              <w:spacing w:after="0"/>
              <w:rPr>
                <w:rFonts w:eastAsia="Times New Roman"/>
                <w:sz w:val="16"/>
                <w:szCs w:val="16"/>
              </w:rPr>
            </w:pPr>
            <w:r w:rsidRPr="00C62CC7">
              <w:rPr>
                <w:rFonts w:eastAsia="Times New Roman"/>
                <w:sz w:val="16"/>
                <w:szCs w:val="16"/>
              </w:rPr>
              <w:t>Eligible Attendance Area Worksheet if LEA has rezoned, opened new schools, and/or attendance area changed</w:t>
            </w:r>
          </w:p>
        </w:tc>
      </w:tr>
      <w:tr w:rsidR="00BF11EA"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BF11EA" w:rsidRPr="0076450A" w:rsidRDefault="00BF11EA"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BF11EA" w:rsidRPr="00C62CC7" w:rsidRDefault="00611AB7" w:rsidP="00313EC1">
            <w:pPr>
              <w:spacing w:after="0"/>
              <w:rPr>
                <w:rFonts w:eastAsia="Times New Roman"/>
                <w:sz w:val="16"/>
                <w:szCs w:val="16"/>
              </w:rPr>
            </w:pPr>
            <w:r w:rsidRPr="00C62CC7">
              <w:rPr>
                <w:rFonts w:eastAsia="Times New Roman"/>
                <w:sz w:val="16"/>
                <w:szCs w:val="16"/>
              </w:rPr>
              <w:t>Reconfiguration explanation if LEA has rezoned, opened new schools, and/or attendance area changed</w:t>
            </w:r>
          </w:p>
        </w:tc>
      </w:tr>
      <w:tr w:rsidR="00BF11EA"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BF11EA" w:rsidRPr="0076450A" w:rsidRDefault="00BF11EA"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BF11EA" w:rsidRPr="00C62CC7" w:rsidRDefault="00611AB7" w:rsidP="00313EC1">
            <w:pPr>
              <w:spacing w:after="0"/>
              <w:rPr>
                <w:rFonts w:eastAsia="Times New Roman"/>
                <w:sz w:val="16"/>
                <w:szCs w:val="16"/>
              </w:rPr>
            </w:pPr>
            <w:r w:rsidRPr="00C62CC7">
              <w:rPr>
                <w:rFonts w:eastAsia="Times New Roman"/>
                <w:sz w:val="16"/>
                <w:szCs w:val="16"/>
              </w:rPr>
              <w:t>Grandfather Rule explanation if LEA is using it to serve a school</w:t>
            </w:r>
          </w:p>
        </w:tc>
      </w:tr>
      <w:tr w:rsidR="00611AB7"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611AB7" w:rsidRPr="00C62CC7" w:rsidRDefault="00611AB7" w:rsidP="00313EC1">
            <w:pPr>
              <w:spacing w:after="0"/>
              <w:rPr>
                <w:rFonts w:eastAsia="Times New Roman"/>
                <w:sz w:val="16"/>
                <w:szCs w:val="16"/>
              </w:rPr>
            </w:pPr>
            <w:r w:rsidRPr="00C62CC7">
              <w:rPr>
                <w:rFonts w:eastAsia="Times New Roman"/>
                <w:sz w:val="16"/>
                <w:szCs w:val="16"/>
              </w:rPr>
              <w:t>Maintenance of Effort waiver letter from US ED if MOE not met</w:t>
            </w:r>
          </w:p>
        </w:tc>
      </w:tr>
      <w:tr w:rsidR="00611AB7"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611AB7" w:rsidRPr="00C62CC7" w:rsidRDefault="00611AB7" w:rsidP="00313EC1">
            <w:pPr>
              <w:spacing w:after="0"/>
              <w:rPr>
                <w:rFonts w:eastAsia="Times New Roman"/>
                <w:sz w:val="16"/>
                <w:szCs w:val="16"/>
              </w:rPr>
            </w:pPr>
            <w:r w:rsidRPr="00C62CC7">
              <w:rPr>
                <w:rFonts w:eastAsia="Times New Roman"/>
                <w:sz w:val="16"/>
                <w:szCs w:val="16"/>
              </w:rPr>
              <w:t>Maintenance of Effort Waiver for State/Commissioned Charter Schools not in existence previous two years</w:t>
            </w:r>
          </w:p>
        </w:tc>
      </w:tr>
      <w:tr w:rsidR="00611AB7"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611AB7" w:rsidRPr="00C62CC7" w:rsidRDefault="00611AB7" w:rsidP="00313EC1">
            <w:pPr>
              <w:spacing w:after="0"/>
              <w:rPr>
                <w:rFonts w:eastAsia="Times New Roman"/>
                <w:sz w:val="16"/>
                <w:szCs w:val="16"/>
              </w:rPr>
            </w:pPr>
            <w:r w:rsidRPr="00C62CC7">
              <w:rPr>
                <w:rFonts w:eastAsia="Times New Roman"/>
                <w:sz w:val="16"/>
                <w:szCs w:val="16"/>
              </w:rPr>
              <w:t>Educational Field Trip Budget Approval Form</w:t>
            </w:r>
          </w:p>
        </w:tc>
      </w:tr>
      <w:tr w:rsidR="00611AB7"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611AB7" w:rsidRPr="00C62CC7" w:rsidRDefault="00611AB7" w:rsidP="00313EC1">
            <w:pPr>
              <w:spacing w:after="0"/>
              <w:rPr>
                <w:rFonts w:eastAsia="Times New Roman"/>
                <w:sz w:val="16"/>
                <w:szCs w:val="16"/>
              </w:rPr>
            </w:pPr>
            <w:r w:rsidRPr="00C62CC7">
              <w:rPr>
                <w:rFonts w:eastAsia="Times New Roman"/>
                <w:sz w:val="16"/>
                <w:szCs w:val="16"/>
              </w:rPr>
              <w:t>Capital Outlay Approval for expenditures in object code 700</w:t>
            </w:r>
          </w:p>
        </w:tc>
      </w:tr>
      <w:tr w:rsidR="00611AB7" w:rsidRPr="00BB69C2"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611AB7" w:rsidRPr="00C62CC7" w:rsidRDefault="00611AB7" w:rsidP="00313EC1">
            <w:pPr>
              <w:spacing w:after="0"/>
              <w:rPr>
                <w:rFonts w:eastAsia="Times New Roman"/>
                <w:sz w:val="16"/>
                <w:szCs w:val="16"/>
              </w:rPr>
            </w:pPr>
            <w:r w:rsidRPr="00C62CC7">
              <w:rPr>
                <w:rFonts w:eastAsia="Times New Roman"/>
                <w:sz w:val="16"/>
                <w:szCs w:val="16"/>
              </w:rPr>
              <w:t>Transferability Notification letter if LEA is transferring funds into Title I, Part A</w:t>
            </w:r>
          </w:p>
        </w:tc>
      </w:tr>
    </w:tbl>
    <w:p w:rsidR="000F40A9" w:rsidRPr="00BB69C2" w:rsidRDefault="000F40A9" w:rsidP="000F40A9">
      <w:pPr>
        <w:pStyle w:val="Heading3"/>
        <w:spacing w:before="120" w:line="240" w:lineRule="auto"/>
        <w:jc w:val="center"/>
        <w:rPr>
          <w:sz w:val="16"/>
        </w:rPr>
      </w:pPr>
    </w:p>
    <w:bookmarkEnd w:id="0"/>
    <w:bookmarkEnd w:id="1"/>
    <w:p w:rsidR="000F40A9" w:rsidRDefault="000F40A9" w:rsidP="000F40A9">
      <w:pPr>
        <w:widowControl w:val="0"/>
        <w:adjustRightInd w:val="0"/>
        <w:spacing w:after="0"/>
        <w:ind w:left="360"/>
        <w:textAlignment w:val="baseline"/>
        <w:rPr>
          <w:bCs/>
          <w:sz w:val="16"/>
          <w:szCs w:val="16"/>
        </w:rPr>
      </w:pPr>
    </w:p>
    <w:p w:rsidR="000F40A9" w:rsidRDefault="000F40A9" w:rsidP="000F40A9">
      <w:pPr>
        <w:widowControl w:val="0"/>
        <w:tabs>
          <w:tab w:val="left" w:pos="7560"/>
        </w:tabs>
        <w:adjustRightInd w:val="0"/>
        <w:spacing w:after="0"/>
        <w:ind w:right="-1098"/>
        <w:textAlignment w:val="baseline"/>
        <w:rPr>
          <w:b/>
          <w:bCs/>
          <w:i/>
          <w:sz w:val="16"/>
          <w:szCs w:val="16"/>
        </w:rPr>
      </w:pPr>
      <w:r w:rsidRPr="00BB69C2">
        <w:rPr>
          <w:b/>
          <w:bCs/>
          <w:sz w:val="16"/>
          <w:szCs w:val="16"/>
        </w:rPr>
        <w:t xml:space="preserve">________________________________________________________          </w:t>
      </w:r>
      <w:r w:rsidRPr="00BB69C2">
        <w:rPr>
          <w:b/>
          <w:bCs/>
          <w:sz w:val="16"/>
          <w:szCs w:val="16"/>
        </w:rPr>
        <w:tab/>
      </w:r>
      <w:r w:rsidRPr="00BB69C2">
        <w:rPr>
          <w:b/>
          <w:bCs/>
          <w:i/>
          <w:sz w:val="16"/>
          <w:szCs w:val="16"/>
        </w:rPr>
        <w:t>________________</w:t>
      </w:r>
      <w:r>
        <w:rPr>
          <w:b/>
          <w:bCs/>
          <w:i/>
          <w:sz w:val="16"/>
          <w:szCs w:val="16"/>
        </w:rPr>
        <w:t>_</w:t>
      </w:r>
      <w:r w:rsidRPr="00BB69C2">
        <w:rPr>
          <w:b/>
          <w:bCs/>
          <w:i/>
          <w:sz w:val="16"/>
          <w:szCs w:val="16"/>
        </w:rPr>
        <w:t>__________</w:t>
      </w:r>
    </w:p>
    <w:p w:rsidR="005518E2" w:rsidRDefault="00E40387">
      <w:r w:rsidRPr="00DE11A2">
        <w:rPr>
          <w:sz w:val="16"/>
          <w:szCs w:val="16"/>
        </w:rPr>
        <w:t>Title Programs Education Program Specialist</w:t>
      </w:r>
      <w:r>
        <w:tab/>
      </w:r>
      <w:r>
        <w:tab/>
      </w:r>
      <w:r>
        <w:tab/>
      </w:r>
      <w:r>
        <w:tab/>
      </w:r>
      <w:r>
        <w:tab/>
      </w:r>
      <w:r w:rsidR="00DE11A2">
        <w:tab/>
      </w:r>
      <w:r w:rsidR="00DE11A2">
        <w:tab/>
      </w:r>
      <w:r w:rsidR="00DE11A2" w:rsidRPr="00DE11A2">
        <w:rPr>
          <w:sz w:val="16"/>
          <w:szCs w:val="16"/>
        </w:rPr>
        <w:t>Date</w:t>
      </w:r>
    </w:p>
    <w:sectPr w:rsidR="005518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C4" w:rsidRDefault="000705C4" w:rsidP="00F82CA0">
      <w:pPr>
        <w:spacing w:after="0"/>
      </w:pPr>
      <w:r>
        <w:separator/>
      </w:r>
    </w:p>
  </w:endnote>
  <w:endnote w:type="continuationSeparator" w:id="0">
    <w:p w:rsidR="000705C4" w:rsidRDefault="000705C4" w:rsidP="00F8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185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rPr>
            <w:sz w:val="24"/>
            <w:szCs w:val="22"/>
          </w:rPr>
        </w:sdtEndPr>
        <w:sdtContent>
          <w:p w:rsidR="003A0563" w:rsidRDefault="003A0563">
            <w:pPr>
              <w:pStyle w:val="Footer"/>
              <w:jc w:val="center"/>
            </w:pPr>
            <w:r w:rsidRPr="003A0563">
              <w:rPr>
                <w:sz w:val="16"/>
                <w:szCs w:val="16"/>
              </w:rPr>
              <w:t>Georgia Department of Education</w:t>
            </w:r>
          </w:p>
          <w:p w:rsidR="0081776B" w:rsidRPr="003A0563" w:rsidRDefault="003A0563">
            <w:pPr>
              <w:pStyle w:val="Footer"/>
              <w:jc w:val="center"/>
            </w:pPr>
            <w:r>
              <w:rPr>
                <w:sz w:val="16"/>
                <w:szCs w:val="16"/>
              </w:rPr>
              <w:t xml:space="preserve">June </w:t>
            </w:r>
            <w:r w:rsidRPr="003A0563">
              <w:rPr>
                <w:sz w:val="16"/>
                <w:szCs w:val="16"/>
              </w:rPr>
              <w:t>2015 ●</w:t>
            </w:r>
            <w:r w:rsidR="0081776B" w:rsidRPr="003A0563">
              <w:rPr>
                <w:sz w:val="16"/>
                <w:szCs w:val="16"/>
              </w:rPr>
              <w:t xml:space="preserve">Page </w:t>
            </w:r>
            <w:r w:rsidR="0081776B" w:rsidRPr="003A0563">
              <w:rPr>
                <w:bCs/>
                <w:sz w:val="16"/>
                <w:szCs w:val="16"/>
              </w:rPr>
              <w:fldChar w:fldCharType="begin"/>
            </w:r>
            <w:r w:rsidR="0081776B" w:rsidRPr="003A0563">
              <w:rPr>
                <w:bCs/>
                <w:sz w:val="16"/>
                <w:szCs w:val="16"/>
              </w:rPr>
              <w:instrText xml:space="preserve"> PAGE </w:instrText>
            </w:r>
            <w:r w:rsidR="0081776B" w:rsidRPr="003A0563">
              <w:rPr>
                <w:bCs/>
                <w:sz w:val="16"/>
                <w:szCs w:val="16"/>
              </w:rPr>
              <w:fldChar w:fldCharType="separate"/>
            </w:r>
            <w:r w:rsidR="00C62CC7">
              <w:rPr>
                <w:bCs/>
                <w:noProof/>
                <w:sz w:val="16"/>
                <w:szCs w:val="16"/>
              </w:rPr>
              <w:t>3</w:t>
            </w:r>
            <w:r w:rsidR="0081776B" w:rsidRPr="003A0563">
              <w:rPr>
                <w:bCs/>
                <w:sz w:val="16"/>
                <w:szCs w:val="16"/>
              </w:rPr>
              <w:fldChar w:fldCharType="end"/>
            </w:r>
            <w:r w:rsidR="0081776B" w:rsidRPr="003A0563">
              <w:rPr>
                <w:sz w:val="16"/>
                <w:szCs w:val="16"/>
              </w:rPr>
              <w:t xml:space="preserve"> of </w:t>
            </w:r>
            <w:r w:rsidR="0081776B" w:rsidRPr="003A0563">
              <w:rPr>
                <w:bCs/>
                <w:sz w:val="16"/>
                <w:szCs w:val="16"/>
              </w:rPr>
              <w:fldChar w:fldCharType="begin"/>
            </w:r>
            <w:r w:rsidR="0081776B" w:rsidRPr="003A0563">
              <w:rPr>
                <w:bCs/>
                <w:sz w:val="16"/>
                <w:szCs w:val="16"/>
              </w:rPr>
              <w:instrText xml:space="preserve"> NUMPAGES  </w:instrText>
            </w:r>
            <w:r w:rsidR="0081776B" w:rsidRPr="003A0563">
              <w:rPr>
                <w:bCs/>
                <w:sz w:val="16"/>
                <w:szCs w:val="16"/>
              </w:rPr>
              <w:fldChar w:fldCharType="separate"/>
            </w:r>
            <w:r w:rsidR="00C62CC7">
              <w:rPr>
                <w:bCs/>
                <w:noProof/>
                <w:sz w:val="16"/>
                <w:szCs w:val="16"/>
              </w:rPr>
              <w:t>3</w:t>
            </w:r>
            <w:r w:rsidR="0081776B" w:rsidRPr="003A0563">
              <w:rPr>
                <w:bCs/>
                <w:sz w:val="16"/>
                <w:szCs w:val="16"/>
              </w:rPr>
              <w:fldChar w:fldCharType="end"/>
            </w:r>
          </w:p>
        </w:sdtContent>
      </w:sdt>
    </w:sdtContent>
  </w:sdt>
  <w:p w:rsidR="0081776B" w:rsidRPr="0081776B" w:rsidRDefault="0081776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C4" w:rsidRDefault="000705C4" w:rsidP="00F82CA0">
      <w:pPr>
        <w:spacing w:after="0"/>
      </w:pPr>
      <w:r>
        <w:separator/>
      </w:r>
    </w:p>
  </w:footnote>
  <w:footnote w:type="continuationSeparator" w:id="0">
    <w:p w:rsidR="000705C4" w:rsidRDefault="000705C4" w:rsidP="00F82C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6B" w:rsidRDefault="00F82CA0" w:rsidP="0081776B">
    <w:pPr>
      <w:pStyle w:val="TableCaption"/>
      <w:jc w:val="left"/>
      <w:rPr>
        <w:b w:val="0"/>
        <w:color w:val="000000"/>
      </w:rPr>
    </w:pPr>
    <w:r>
      <w:rPr>
        <w:noProof/>
      </w:rPr>
      <w:drawing>
        <wp:inline distT="0" distB="0" distL="0" distR="0" wp14:anchorId="372FFD8A" wp14:editId="471E7026">
          <wp:extent cx="1045230"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hard_Woods_Color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inline>
      </w:drawing>
    </w:r>
    <w:r>
      <w:tab/>
    </w:r>
    <w:r w:rsidR="0081776B">
      <w:t xml:space="preserve">           </w:t>
    </w:r>
    <w:r w:rsidR="0081776B" w:rsidRPr="005915EC">
      <w:t>Consolidated Application Checklist</w:t>
    </w:r>
    <w:r w:rsidR="0081776B">
      <w:t xml:space="preserve"> </w:t>
    </w:r>
  </w:p>
  <w:p w:rsidR="00F82CA0" w:rsidRDefault="00F82CA0" w:rsidP="00F82CA0">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A9"/>
    <w:rsid w:val="00023F07"/>
    <w:rsid w:val="000453C5"/>
    <w:rsid w:val="000705C4"/>
    <w:rsid w:val="000F40A9"/>
    <w:rsid w:val="00255556"/>
    <w:rsid w:val="00322494"/>
    <w:rsid w:val="003A0563"/>
    <w:rsid w:val="00461CBC"/>
    <w:rsid w:val="00510507"/>
    <w:rsid w:val="005518E2"/>
    <w:rsid w:val="005559D4"/>
    <w:rsid w:val="005915EC"/>
    <w:rsid w:val="005D772D"/>
    <w:rsid w:val="005F249D"/>
    <w:rsid w:val="00611AB7"/>
    <w:rsid w:val="00694AC8"/>
    <w:rsid w:val="00735E2C"/>
    <w:rsid w:val="0076450A"/>
    <w:rsid w:val="0081776B"/>
    <w:rsid w:val="00866F7D"/>
    <w:rsid w:val="008871CB"/>
    <w:rsid w:val="009D36EC"/>
    <w:rsid w:val="00A54BE4"/>
    <w:rsid w:val="00A60F2A"/>
    <w:rsid w:val="00A829A1"/>
    <w:rsid w:val="00BF11EA"/>
    <w:rsid w:val="00C07FD8"/>
    <w:rsid w:val="00C62CC7"/>
    <w:rsid w:val="00D748A2"/>
    <w:rsid w:val="00DC2403"/>
    <w:rsid w:val="00DE11A2"/>
    <w:rsid w:val="00E40387"/>
    <w:rsid w:val="00E86F27"/>
    <w:rsid w:val="00F16421"/>
    <w:rsid w:val="00F43191"/>
    <w:rsid w:val="00F53934"/>
    <w:rsid w:val="00F82CA0"/>
    <w:rsid w:val="00FC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4CB2A-4C96-4E70-A89A-C116EB1BF2D7}"/>
</file>

<file path=customXml/itemProps2.xml><?xml version="1.0" encoding="utf-8"?>
<ds:datastoreItem xmlns:ds="http://schemas.openxmlformats.org/officeDocument/2006/customXml" ds:itemID="{69080CD2-0ED4-4B86-8F60-A4E6A87512B9}"/>
</file>

<file path=customXml/itemProps3.xml><?xml version="1.0" encoding="utf-8"?>
<ds:datastoreItem xmlns:ds="http://schemas.openxmlformats.org/officeDocument/2006/customXml" ds:itemID="{CE1848D9-94DD-4935-AC50-A4EFF18F703D}"/>
</file>

<file path=customXml/itemProps4.xml><?xml version="1.0" encoding="utf-8"?>
<ds:datastoreItem xmlns:ds="http://schemas.openxmlformats.org/officeDocument/2006/customXml" ds:itemID="{3672B62A-0DFC-4A77-9B29-CCB1F6E3D5D7}"/>
</file>

<file path=docProps/app.xml><?xml version="1.0" encoding="utf-8"?>
<Properties xmlns="http://schemas.openxmlformats.org/officeDocument/2006/extended-properties" xmlns:vt="http://schemas.openxmlformats.org/officeDocument/2006/docPropsVTypes">
  <Template>Normal</Template>
  <TotalTime>9</TotalTime>
  <Pages>3</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Grace McElveen</cp:lastModifiedBy>
  <cp:revision>3</cp:revision>
  <cp:lastPrinted>2015-06-02T16:03:00Z</cp:lastPrinted>
  <dcterms:created xsi:type="dcterms:W3CDTF">2015-08-12T18:18:00Z</dcterms:created>
  <dcterms:modified xsi:type="dcterms:W3CDTF">2015-08-12T18:26:00Z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