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4" w:rsidRPr="002D2E24" w:rsidRDefault="002D2E24" w:rsidP="00B16928">
      <w:pPr>
        <w:spacing w:after="0" w:line="240" w:lineRule="auto"/>
        <w:jc w:val="center"/>
        <w:rPr>
          <w:rFonts w:asciiTheme="majorHAnsi" w:hAnsiTheme="majorHAnsi"/>
          <w:b/>
          <w:caps/>
          <w:color w:val="DD8047" w:themeColor="accent2"/>
          <w:spacing w:val="50"/>
          <w:sz w:val="32"/>
          <w:szCs w:val="32"/>
        </w:rPr>
      </w:pPr>
      <w:r w:rsidRPr="002D2E24">
        <w:rPr>
          <w:rFonts w:asciiTheme="majorHAnsi" w:hAnsiTheme="majorHAnsi"/>
          <w:b/>
          <w:caps/>
          <w:color w:val="DD8047" w:themeColor="accent2"/>
          <w:spacing w:val="50"/>
          <w:sz w:val="32"/>
          <w:szCs w:val="32"/>
        </w:rPr>
        <w:t>High School</w:t>
      </w:r>
    </w:p>
    <w:p w:rsidR="002D2E24" w:rsidRPr="002D2E24" w:rsidRDefault="00BC4A0A" w:rsidP="00132721">
      <w:pPr>
        <w:spacing w:after="0" w:line="240" w:lineRule="auto"/>
        <w:jc w:val="center"/>
        <w:rPr>
          <w:rFonts w:asciiTheme="majorHAnsi" w:hAnsiTheme="majorHAnsi"/>
          <w:b/>
          <w:caps/>
          <w:color w:val="DD8047" w:themeColor="accent2"/>
          <w:spacing w:val="50"/>
          <w:sz w:val="32"/>
          <w:szCs w:val="3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32"/>
          <w:szCs w:val="32"/>
        </w:rPr>
        <w:t>FY2016</w:t>
      </w:r>
    </w:p>
    <w:p w:rsidR="002D2E24" w:rsidRPr="00C84D3B" w:rsidRDefault="002D2E24" w:rsidP="00132721">
      <w:pPr>
        <w:spacing w:before="120" w:after="0"/>
        <w:jc w:val="center"/>
        <w:rPr>
          <w:rFonts w:ascii="Tw Cen MT" w:eastAsia="Tw Cen MT" w:hAnsi="Tw Cen MT"/>
          <w:color w:val="775F55" w:themeColor="text2"/>
          <w:sz w:val="28"/>
          <w:szCs w:val="28"/>
        </w:rPr>
      </w:pPr>
      <w:r w:rsidRPr="00C84D3B">
        <w:rPr>
          <w:rFonts w:ascii="Tw Cen MT" w:eastAsia="Tw Cen MT" w:hAnsi="Tw Cen MT"/>
          <w:color w:val="775F55" w:themeColor="text2"/>
          <w:sz w:val="28"/>
          <w:szCs w:val="28"/>
        </w:rPr>
        <w:t>CAREER, TECHNICAL AND AGRICULTURAL EDUCATION</w:t>
      </w:r>
    </w:p>
    <w:p w:rsidR="002D2E24" w:rsidRPr="00BC4A0A" w:rsidRDefault="00BC4A0A" w:rsidP="00132721">
      <w:pPr>
        <w:spacing w:after="0" w:line="240" w:lineRule="auto"/>
        <w:jc w:val="center"/>
        <w:rPr>
          <w:sz w:val="24"/>
          <w:szCs w:val="24"/>
        </w:rPr>
      </w:pPr>
      <w:r w:rsidRPr="00BC4A0A">
        <w:rPr>
          <w:sz w:val="24"/>
          <w:szCs w:val="24"/>
        </w:rPr>
        <w:t>Perkins IV Monitoring and Risk Assessment</w:t>
      </w:r>
    </w:p>
    <w:p w:rsidR="002D2E24" w:rsidRPr="00BC4A0A" w:rsidRDefault="00BC4A0A" w:rsidP="00132721">
      <w:pPr>
        <w:spacing w:after="120"/>
        <w:jc w:val="center"/>
        <w:rPr>
          <w:b/>
          <w:sz w:val="28"/>
          <w:szCs w:val="28"/>
        </w:rPr>
      </w:pPr>
      <w:r w:rsidRPr="00BC4A0A">
        <w:rPr>
          <w:b/>
          <w:sz w:val="28"/>
          <w:szCs w:val="28"/>
        </w:rPr>
        <w:t>TEAM MEMBER SUMMARY REPORT</w:t>
      </w:r>
    </w:p>
    <w:p w:rsidR="002B1A15" w:rsidRPr="00BC4A0A" w:rsidRDefault="002B1A15" w:rsidP="00132721">
      <w:pPr>
        <w:rPr>
          <w:sz w:val="24"/>
          <w:szCs w:val="24"/>
        </w:rPr>
      </w:pPr>
      <w:r w:rsidRPr="00BC4A0A">
        <w:rPr>
          <w:b/>
          <w:sz w:val="24"/>
          <w:szCs w:val="24"/>
        </w:rPr>
        <w:t>System Name:</w:t>
      </w:r>
      <w:r w:rsidRPr="00BC4A0A">
        <w:rPr>
          <w:sz w:val="24"/>
          <w:szCs w:val="24"/>
        </w:rPr>
        <w:t xml:space="preserve"> </w:t>
      </w:r>
      <w:r w:rsidR="00B16928">
        <w:rPr>
          <w:sz w:val="24"/>
          <w:szCs w:val="24"/>
        </w:rPr>
        <w:t>______________________________</w:t>
      </w:r>
      <w:r w:rsidRPr="00BC4A0A">
        <w:rPr>
          <w:sz w:val="24"/>
          <w:szCs w:val="24"/>
        </w:rPr>
        <w:t xml:space="preserve">     </w:t>
      </w:r>
      <w:r w:rsidRPr="00BC4A0A">
        <w:rPr>
          <w:b/>
          <w:sz w:val="24"/>
          <w:szCs w:val="24"/>
        </w:rPr>
        <w:t>School Name:</w:t>
      </w:r>
      <w:r w:rsidRPr="00BC4A0A">
        <w:rPr>
          <w:sz w:val="24"/>
          <w:szCs w:val="24"/>
        </w:rPr>
        <w:t xml:space="preserve"> </w:t>
      </w:r>
      <w:r w:rsidR="00B16928">
        <w:rPr>
          <w:sz w:val="24"/>
          <w:szCs w:val="24"/>
        </w:rPr>
        <w:t>________________________</w:t>
      </w:r>
      <w:r w:rsidRPr="00BC4A0A">
        <w:rPr>
          <w:sz w:val="24"/>
          <w:szCs w:val="24"/>
        </w:rPr>
        <w:t xml:space="preserve"> </w:t>
      </w:r>
    </w:p>
    <w:p w:rsidR="002B1A15" w:rsidRPr="00BC4A0A" w:rsidRDefault="00634F56" w:rsidP="00132721">
      <w:pPr>
        <w:spacing w:after="120"/>
        <w:rPr>
          <w:sz w:val="24"/>
          <w:szCs w:val="24"/>
        </w:rPr>
      </w:pPr>
      <w:r w:rsidRPr="00BC4A0A">
        <w:rPr>
          <w:b/>
          <w:sz w:val="24"/>
          <w:szCs w:val="24"/>
        </w:rPr>
        <w:t>School Chair</w:t>
      </w:r>
      <w:r w:rsidR="002B1A15" w:rsidRPr="00BC4A0A">
        <w:rPr>
          <w:b/>
          <w:sz w:val="24"/>
          <w:szCs w:val="24"/>
        </w:rPr>
        <w:t>:</w:t>
      </w:r>
      <w:r w:rsidR="002B1A15" w:rsidRPr="00BC4A0A">
        <w:rPr>
          <w:sz w:val="24"/>
          <w:szCs w:val="24"/>
        </w:rPr>
        <w:t xml:space="preserve"> </w:t>
      </w:r>
      <w:r w:rsidR="00B16928">
        <w:rPr>
          <w:sz w:val="24"/>
          <w:szCs w:val="24"/>
        </w:rPr>
        <w:t>_______________________________</w:t>
      </w:r>
      <w:r w:rsidR="002B1A15" w:rsidRPr="00BC4A0A">
        <w:rPr>
          <w:sz w:val="24"/>
          <w:szCs w:val="24"/>
        </w:rPr>
        <w:t xml:space="preserve">   </w:t>
      </w:r>
      <w:r w:rsidR="00B16928">
        <w:rPr>
          <w:b/>
          <w:sz w:val="24"/>
          <w:szCs w:val="24"/>
        </w:rPr>
        <w:t>Team Member</w:t>
      </w:r>
      <w:r w:rsidR="002B1A15" w:rsidRPr="00BC4A0A">
        <w:rPr>
          <w:b/>
          <w:sz w:val="24"/>
          <w:szCs w:val="24"/>
        </w:rPr>
        <w:t>:</w:t>
      </w:r>
      <w:r w:rsidR="002B1A15" w:rsidRPr="00BC4A0A">
        <w:rPr>
          <w:sz w:val="24"/>
          <w:szCs w:val="24"/>
        </w:rPr>
        <w:t xml:space="preserve"> </w:t>
      </w:r>
      <w:r w:rsidR="00B16928">
        <w:rPr>
          <w:sz w:val="24"/>
          <w:szCs w:val="24"/>
        </w:rPr>
        <w:t>________________________</w:t>
      </w:r>
      <w:r w:rsidR="002B1A15" w:rsidRPr="00BC4A0A">
        <w:rPr>
          <w:sz w:val="24"/>
          <w:szCs w:val="24"/>
        </w:rPr>
        <w:t xml:space="preserve"> </w:t>
      </w:r>
    </w:p>
    <w:p w:rsidR="00974489" w:rsidRPr="007A7A4D" w:rsidRDefault="00974489" w:rsidP="007A7A4D">
      <w:pPr>
        <w:pStyle w:val="ListParagraph"/>
        <w:numPr>
          <w:ilvl w:val="0"/>
          <w:numId w:val="48"/>
        </w:numPr>
        <w:spacing w:before="120" w:after="60" w:line="240" w:lineRule="auto"/>
        <w:ind w:left="0" w:hanging="270"/>
        <w:rPr>
          <w:color w:val="775F55" w:themeColor="text2"/>
          <w:szCs w:val="23"/>
        </w:rPr>
      </w:pPr>
      <w:r w:rsidRPr="007A7A4D">
        <w:rPr>
          <w:rFonts w:ascii="Tw Cen MT" w:eastAsia="Tw Cen MT" w:hAnsi="Tw Cen MT"/>
          <w:color w:val="775F55" w:themeColor="text2"/>
          <w:sz w:val="28"/>
          <w:szCs w:val="28"/>
        </w:rPr>
        <w:t>CLASSROOM/LAB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4489" w:rsidTr="00892DE0">
        <w:tc>
          <w:tcPr>
            <w:tcW w:w="10070" w:type="dxa"/>
            <w:shd w:val="clear" w:color="auto" w:fill="D9D9D9" w:themeFill="background1" w:themeFillShade="D9"/>
          </w:tcPr>
          <w:p w:rsidR="006E0719" w:rsidRPr="00BC4A0A" w:rsidRDefault="00BC4A0A" w:rsidP="00BC4A0A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337" w:hanging="270"/>
              <w:jc w:val="both"/>
              <w:rPr>
                <w:szCs w:val="23"/>
              </w:rPr>
            </w:pPr>
            <w:r w:rsidRPr="00BC4A0A">
              <w:rPr>
                <w:szCs w:val="23"/>
              </w:rPr>
              <w:t>C</w:t>
            </w:r>
            <w:r w:rsidR="006E0719" w:rsidRPr="00BC4A0A">
              <w:rPr>
                <w:szCs w:val="23"/>
              </w:rPr>
              <w:t>lass schedule</w:t>
            </w:r>
            <w:r w:rsidRPr="00BC4A0A">
              <w:rPr>
                <w:szCs w:val="23"/>
              </w:rPr>
              <w:t xml:space="preserve"> reviewed</w:t>
            </w:r>
          </w:p>
          <w:p w:rsidR="00634F56" w:rsidRPr="00BC4A0A" w:rsidRDefault="00BC4A0A" w:rsidP="00BC4A0A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337" w:hanging="270"/>
              <w:jc w:val="both"/>
              <w:rPr>
                <w:szCs w:val="23"/>
              </w:rPr>
            </w:pPr>
            <w:r w:rsidRPr="00BC4A0A">
              <w:rPr>
                <w:szCs w:val="23"/>
              </w:rPr>
              <w:t>Sc</w:t>
            </w:r>
            <w:r w:rsidR="00634F56" w:rsidRPr="00BC4A0A">
              <w:rPr>
                <w:szCs w:val="23"/>
              </w:rPr>
              <w:t xml:space="preserve">heduled time for instruction and lab activities </w:t>
            </w:r>
            <w:r w:rsidRPr="00BC4A0A">
              <w:rPr>
                <w:szCs w:val="23"/>
              </w:rPr>
              <w:t xml:space="preserve">is </w:t>
            </w:r>
            <w:r w:rsidR="00634F56" w:rsidRPr="00BC4A0A">
              <w:rPr>
                <w:szCs w:val="23"/>
              </w:rPr>
              <w:t>adequate</w:t>
            </w:r>
          </w:p>
          <w:p w:rsidR="00974489" w:rsidRPr="00BC4A0A" w:rsidRDefault="00775F13" w:rsidP="00BC4A0A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337" w:hanging="270"/>
              <w:jc w:val="both"/>
              <w:rPr>
                <w:szCs w:val="23"/>
              </w:rPr>
            </w:pPr>
            <w:r>
              <w:rPr>
                <w:szCs w:val="23"/>
              </w:rPr>
              <w:t>Multiple courses are taught during the same class segment</w:t>
            </w:r>
          </w:p>
        </w:tc>
      </w:tr>
      <w:tr w:rsidR="00974489" w:rsidTr="00892DE0">
        <w:tc>
          <w:tcPr>
            <w:tcW w:w="10070" w:type="dxa"/>
          </w:tcPr>
          <w:p w:rsidR="00974489" w:rsidRDefault="006E0719" w:rsidP="00B16928">
            <w:pPr>
              <w:spacing w:before="120" w:after="120" w:line="240" w:lineRule="auto"/>
              <w:rPr>
                <w:sz w:val="23"/>
                <w:szCs w:val="23"/>
              </w:rPr>
            </w:pPr>
            <w:r w:rsidRPr="00C905F8">
              <w:rPr>
                <w:b/>
                <w:sz w:val="23"/>
                <w:szCs w:val="23"/>
              </w:rPr>
              <w:t>Findings:</w:t>
            </w:r>
            <w:r>
              <w:rPr>
                <w:sz w:val="23"/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 w:val="23"/>
                <w:szCs w:val="23"/>
              </w:rPr>
            </w:pPr>
          </w:p>
        </w:tc>
      </w:tr>
      <w:tr w:rsidR="006E0719" w:rsidTr="00892DE0">
        <w:tc>
          <w:tcPr>
            <w:tcW w:w="10070" w:type="dxa"/>
          </w:tcPr>
          <w:p w:rsidR="00B16928" w:rsidRDefault="006E0719" w:rsidP="00B16928">
            <w:pPr>
              <w:spacing w:before="120" w:after="120" w:line="240" w:lineRule="auto"/>
              <w:rPr>
                <w:b/>
                <w:sz w:val="23"/>
                <w:szCs w:val="23"/>
              </w:rPr>
            </w:pPr>
            <w:r w:rsidRPr="00C905F8">
              <w:rPr>
                <w:b/>
                <w:sz w:val="23"/>
                <w:szCs w:val="23"/>
              </w:rPr>
              <w:t>Recommendation:</w:t>
            </w:r>
          </w:p>
          <w:p w:rsidR="006E0719" w:rsidRDefault="006E0719" w:rsidP="00B16928">
            <w:pPr>
              <w:spacing w:before="120" w:after="120" w:line="240" w:lineRule="auto"/>
              <w:rPr>
                <w:szCs w:val="23"/>
              </w:rPr>
            </w:pPr>
            <w:r>
              <w:rPr>
                <w:szCs w:val="23"/>
              </w:rPr>
              <w:t xml:space="preserve">  </w:t>
            </w:r>
          </w:p>
        </w:tc>
      </w:tr>
    </w:tbl>
    <w:p w:rsidR="00974489" w:rsidRDefault="00974489" w:rsidP="00B16928">
      <w:pPr>
        <w:spacing w:after="0" w:line="240" w:lineRule="auto"/>
        <w:rPr>
          <w:szCs w:val="23"/>
        </w:rPr>
      </w:pPr>
    </w:p>
    <w:p w:rsidR="00BB3C3C" w:rsidRPr="007A7A4D" w:rsidRDefault="00D379EB" w:rsidP="007A7A4D">
      <w:pPr>
        <w:pStyle w:val="ListParagraph"/>
        <w:numPr>
          <w:ilvl w:val="0"/>
          <w:numId w:val="48"/>
        </w:numPr>
        <w:spacing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CAREER RELATED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3C3C" w:rsidTr="005C0040">
        <w:tc>
          <w:tcPr>
            <w:tcW w:w="10070" w:type="dxa"/>
            <w:shd w:val="clear" w:color="auto" w:fill="D9D9D9" w:themeFill="background1" w:themeFillShade="D9"/>
          </w:tcPr>
          <w:p w:rsidR="00BC4A0A" w:rsidRPr="00BC4A0A" w:rsidRDefault="00BC4A0A" w:rsidP="00BC4A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337" w:hanging="270"/>
              <w:rPr>
                <w:rFonts w:ascii="Tw Cen MT" w:hAnsi="Tw Cen MT"/>
                <w:szCs w:val="23"/>
              </w:rPr>
            </w:pPr>
            <w:r w:rsidRPr="00BC4A0A">
              <w:rPr>
                <w:rFonts w:ascii="Tw Cen MT" w:hAnsi="Tw Cen MT"/>
                <w:szCs w:val="23"/>
              </w:rPr>
              <w:t>Students are involved in Career Related Education activities (guest speakers, field trips, career fairs, etc.)</w:t>
            </w:r>
          </w:p>
          <w:p w:rsidR="00BB3C3C" w:rsidRPr="00BC4A0A" w:rsidRDefault="00BC4A0A" w:rsidP="00BC4A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337" w:hanging="270"/>
              <w:rPr>
                <w:szCs w:val="23"/>
              </w:rPr>
            </w:pPr>
            <w:r w:rsidRPr="00BC4A0A">
              <w:rPr>
                <w:rFonts w:ascii="Tw Cen MT" w:hAnsi="Tw Cen MT"/>
                <w:szCs w:val="23"/>
              </w:rPr>
              <w:t>Students are in Career Exploration Activities (mock interviews, portfolios, student presentations, job shadowing, etc.)</w:t>
            </w:r>
          </w:p>
        </w:tc>
      </w:tr>
      <w:tr w:rsidR="00C23A15" w:rsidTr="005C0040">
        <w:tc>
          <w:tcPr>
            <w:tcW w:w="10070" w:type="dxa"/>
          </w:tcPr>
          <w:p w:rsidR="00C23A15" w:rsidRDefault="00C23A15" w:rsidP="00B16928">
            <w:pPr>
              <w:spacing w:before="120" w:after="120" w:line="240" w:lineRule="auto"/>
              <w:rPr>
                <w:sz w:val="23"/>
                <w:szCs w:val="23"/>
              </w:rPr>
            </w:pPr>
            <w:r w:rsidRPr="00C905F8">
              <w:rPr>
                <w:b/>
                <w:sz w:val="23"/>
                <w:szCs w:val="23"/>
              </w:rPr>
              <w:t>Findings:</w:t>
            </w:r>
            <w:r>
              <w:rPr>
                <w:sz w:val="23"/>
                <w:szCs w:val="23"/>
              </w:rPr>
              <w:t xml:space="preserve"> 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 w:val="23"/>
                <w:szCs w:val="23"/>
              </w:rPr>
            </w:pPr>
          </w:p>
        </w:tc>
      </w:tr>
      <w:tr w:rsidR="00C23A15" w:rsidTr="005C0040">
        <w:tc>
          <w:tcPr>
            <w:tcW w:w="10070" w:type="dxa"/>
          </w:tcPr>
          <w:p w:rsidR="00C23A15" w:rsidRDefault="00C23A15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 w:val="23"/>
                <w:szCs w:val="23"/>
              </w:rPr>
              <w:t>Recommendation:</w:t>
            </w:r>
            <w:r>
              <w:rPr>
                <w:szCs w:val="23"/>
              </w:rPr>
              <w:t xml:space="preserve"> 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B16928" w:rsidRDefault="00B16928" w:rsidP="00132721">
      <w:pPr>
        <w:spacing w:after="0" w:line="240" w:lineRule="auto"/>
        <w:rPr>
          <w:rFonts w:ascii="Tw Cen MT" w:eastAsia="Tw Cen MT" w:hAnsi="Tw Cen MT"/>
          <w:color w:val="775F55" w:themeColor="text2"/>
          <w:sz w:val="28"/>
          <w:szCs w:val="28"/>
        </w:rPr>
      </w:pPr>
    </w:p>
    <w:p w:rsidR="00836776" w:rsidRDefault="00836776" w:rsidP="007A7A4D">
      <w:pPr>
        <w:pStyle w:val="ListParagraph"/>
        <w:numPr>
          <w:ilvl w:val="0"/>
          <w:numId w:val="48"/>
        </w:numPr>
        <w:spacing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WORK BASED LEARNING (WBL) AND YOUTH APPRENTICESHIP (YAP)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36776" w:rsidRPr="00702ABD" w:rsidTr="005C0040">
        <w:tc>
          <w:tcPr>
            <w:tcW w:w="10075" w:type="dxa"/>
            <w:shd w:val="clear" w:color="auto" w:fill="D9D9D9"/>
          </w:tcPr>
          <w:p w:rsidR="00836776" w:rsidRPr="00836776" w:rsidRDefault="00836776" w:rsidP="0083677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Previous school year’s self-assessment </w:t>
            </w:r>
            <w:r w:rsidR="00DD0EF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is available for review </w:t>
            </w: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(WBL &amp; YAP)</w:t>
            </w:r>
          </w:p>
          <w:p w:rsidR="00836776" w:rsidRPr="00836776" w:rsidRDefault="00836776" w:rsidP="0083677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Plan of Improvement </w:t>
            </w:r>
            <w:r w:rsidR="00DD0EF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available </w:t>
            </w: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(WBL &amp; YAP, if appropriate)</w:t>
            </w:r>
          </w:p>
          <w:p w:rsidR="00836776" w:rsidRPr="00836776" w:rsidRDefault="00836776" w:rsidP="0083677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C-Net Reports are complete</w:t>
            </w:r>
          </w:p>
          <w:p w:rsidR="00836776" w:rsidRPr="00836776" w:rsidRDefault="00836776" w:rsidP="0083677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Training plans are on file for all students currently enrolled (appropriate signatures are on all plans)</w:t>
            </w:r>
          </w:p>
          <w:p w:rsidR="00836776" w:rsidRPr="00836776" w:rsidRDefault="00836776" w:rsidP="00836776">
            <w:pPr>
              <w:pStyle w:val="ListParagraph"/>
              <w:numPr>
                <w:ilvl w:val="0"/>
                <w:numId w:val="47"/>
              </w:numPr>
              <w:spacing w:after="60" w:line="240" w:lineRule="auto"/>
              <w:ind w:left="337" w:hanging="293"/>
              <w:rPr>
                <w:rFonts w:cs="Arial"/>
                <w:b/>
                <w:szCs w:val="23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Work permits are on file for all students currently enrolled in WBL &amp; YAP</w:t>
            </w:r>
          </w:p>
        </w:tc>
      </w:tr>
      <w:tr w:rsidR="00836776" w:rsidRPr="00702ABD" w:rsidTr="005C0040">
        <w:tc>
          <w:tcPr>
            <w:tcW w:w="10075" w:type="dxa"/>
          </w:tcPr>
          <w:p w:rsidR="00836776" w:rsidRDefault="00836776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836776" w:rsidRPr="00702ABD" w:rsidTr="00132721">
        <w:trPr>
          <w:trHeight w:val="278"/>
        </w:trPr>
        <w:tc>
          <w:tcPr>
            <w:tcW w:w="10075" w:type="dxa"/>
          </w:tcPr>
          <w:p w:rsidR="00836776" w:rsidRPr="00132721" w:rsidRDefault="00836776" w:rsidP="00B16928">
            <w:pPr>
              <w:spacing w:before="120" w:after="120" w:line="240" w:lineRule="auto"/>
              <w:rPr>
                <w:sz w:val="20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</w:tbl>
    <w:p w:rsidR="00974489" w:rsidRPr="007A7A4D" w:rsidRDefault="00974489" w:rsidP="007A7A4D">
      <w:pPr>
        <w:pStyle w:val="ListParagraph"/>
        <w:numPr>
          <w:ilvl w:val="0"/>
          <w:numId w:val="48"/>
        </w:numPr>
        <w:spacing w:before="120"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 w:rsidRPr="00C84D3B">
        <w:rPr>
          <w:rFonts w:ascii="Tw Cen MT" w:eastAsia="Tw Cen MT" w:hAnsi="Tw Cen MT"/>
          <w:color w:val="775F55" w:themeColor="text2"/>
          <w:sz w:val="28"/>
          <w:szCs w:val="28"/>
        </w:rPr>
        <w:lastRenderedPageBreak/>
        <w:t>SCHOOL IMPROVEMENT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4489" w:rsidTr="00892DE0">
        <w:tc>
          <w:tcPr>
            <w:tcW w:w="10070" w:type="dxa"/>
            <w:shd w:val="clear" w:color="auto" w:fill="D9D9D9" w:themeFill="background1" w:themeFillShade="D9"/>
          </w:tcPr>
          <w:p w:rsidR="00F62144" w:rsidRPr="00F62144" w:rsidRDefault="00F62144" w:rsidP="00F62144">
            <w:pPr>
              <w:pStyle w:val="ListParagraph"/>
              <w:numPr>
                <w:ilvl w:val="0"/>
                <w:numId w:val="34"/>
              </w:numPr>
              <w:spacing w:before="60" w:after="0" w:line="240" w:lineRule="auto"/>
              <w:ind w:left="331" w:hanging="288"/>
              <w:jc w:val="both"/>
              <w:rPr>
                <w:sz w:val="23"/>
                <w:szCs w:val="23"/>
              </w:rPr>
            </w:pPr>
            <w:r w:rsidRPr="00F62144">
              <w:rPr>
                <w:sz w:val="23"/>
                <w:szCs w:val="23"/>
              </w:rPr>
              <w:t>School/CTAE Department has an Improvement Plan</w:t>
            </w:r>
          </w:p>
          <w:p w:rsidR="00F62144" w:rsidRPr="00F62144" w:rsidRDefault="00F62144" w:rsidP="00F6214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37" w:hanging="293"/>
              <w:jc w:val="both"/>
              <w:rPr>
                <w:sz w:val="23"/>
                <w:szCs w:val="23"/>
              </w:rPr>
            </w:pPr>
            <w:r w:rsidRPr="00F62144">
              <w:rPr>
                <w:sz w:val="23"/>
                <w:szCs w:val="23"/>
              </w:rPr>
              <w:t>Improvement plan addresses deficiencies in meeting Perkins IV Core Indicators</w:t>
            </w:r>
          </w:p>
          <w:p w:rsidR="00974489" w:rsidRPr="00F62144" w:rsidRDefault="00F62144" w:rsidP="00F62144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ind w:left="331" w:hanging="288"/>
              <w:jc w:val="both"/>
              <w:rPr>
                <w:sz w:val="23"/>
                <w:szCs w:val="23"/>
              </w:rPr>
            </w:pPr>
            <w:r w:rsidRPr="00F62144">
              <w:rPr>
                <w:sz w:val="23"/>
                <w:szCs w:val="23"/>
              </w:rPr>
              <w:t>CTAE staff serves on school/system improvement committee</w:t>
            </w:r>
          </w:p>
        </w:tc>
      </w:tr>
      <w:tr w:rsidR="00B16928" w:rsidTr="00892DE0">
        <w:tc>
          <w:tcPr>
            <w:tcW w:w="10070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 w:val="23"/>
                <w:szCs w:val="23"/>
              </w:rPr>
              <w:t>Findings:</w:t>
            </w:r>
            <w:r>
              <w:rPr>
                <w:sz w:val="23"/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 w:val="23"/>
                <w:szCs w:val="23"/>
              </w:rPr>
            </w:pPr>
          </w:p>
        </w:tc>
      </w:tr>
      <w:tr w:rsidR="00B16928" w:rsidTr="00892DE0">
        <w:tc>
          <w:tcPr>
            <w:tcW w:w="10070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 w:val="23"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</w:tbl>
    <w:p w:rsidR="00974489" w:rsidRDefault="00974489" w:rsidP="00C51F1F">
      <w:pPr>
        <w:spacing w:after="60" w:line="240" w:lineRule="auto"/>
        <w:rPr>
          <w:szCs w:val="23"/>
        </w:rPr>
      </w:pPr>
    </w:p>
    <w:p w:rsidR="002B1A15" w:rsidRDefault="002B1A15" w:rsidP="007A7A4D">
      <w:pPr>
        <w:pStyle w:val="ListParagraph"/>
        <w:numPr>
          <w:ilvl w:val="0"/>
          <w:numId w:val="48"/>
        </w:numPr>
        <w:spacing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PATHWAY COMPLETION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2B1A15" w:rsidRPr="002B1A15" w:rsidTr="008A1441">
        <w:tc>
          <w:tcPr>
            <w:tcW w:w="10075" w:type="dxa"/>
            <w:shd w:val="clear" w:color="auto" w:fill="D9D9D9"/>
          </w:tcPr>
          <w:p w:rsidR="00F62144" w:rsidRPr="00F62144" w:rsidRDefault="00F62144" w:rsidP="00F62144">
            <w:pPr>
              <w:pStyle w:val="ListParagraph"/>
              <w:numPr>
                <w:ilvl w:val="0"/>
                <w:numId w:val="36"/>
              </w:numPr>
              <w:spacing w:before="60"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F62144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Each course offered in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the </w:t>
            </w:r>
            <w:r w:rsidRPr="00F62144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program uses current state standards, objectives, and/or competencies</w:t>
            </w:r>
          </w:p>
          <w:p w:rsidR="00F62144" w:rsidRPr="00F62144" w:rsidRDefault="00F62144" w:rsidP="00F6214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F62144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For each Pathway offered, all courses required for </w:t>
            </w:r>
            <w:r w:rsidR="008D6371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pathway </w:t>
            </w:r>
            <w:r w:rsidRPr="00F62144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completion are offered within a two</w:t>
            </w:r>
            <w:r w:rsidR="00643860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-</w:t>
            </w:r>
            <w:r w:rsidRPr="00F62144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year time frame</w:t>
            </w:r>
          </w:p>
          <w:p w:rsidR="002B1A15" w:rsidRPr="008D6371" w:rsidRDefault="00F62144" w:rsidP="00F62144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ind w:left="337" w:hanging="293"/>
              <w:jc w:val="both"/>
              <w:rPr>
                <w:b/>
                <w:szCs w:val="23"/>
              </w:rPr>
            </w:pPr>
            <w:r w:rsidRPr="00F62144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Percentage of students </w:t>
            </w:r>
            <w:r w:rsidRPr="00643860">
              <w:rPr>
                <w:rFonts w:ascii="Tw Cen MT" w:eastAsia="Times New Roman" w:hAnsi="Tw Cen MT"/>
                <w:kern w:val="0"/>
                <w:szCs w:val="23"/>
                <w:u w:val="single"/>
                <w:lang w:eastAsia="en-US"/>
                <w14:ligatures w14:val="none"/>
              </w:rPr>
              <w:t>taking</w:t>
            </w:r>
            <w:r w:rsidRPr="00F62144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 the End of Pathway Assessment in FY201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5</w:t>
            </w:r>
          </w:p>
          <w:p w:rsidR="008D6371" w:rsidRPr="00F62144" w:rsidRDefault="008D6371" w:rsidP="00F62144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ind w:left="337" w:hanging="293"/>
              <w:jc w:val="both"/>
              <w:rPr>
                <w:b/>
                <w:szCs w:val="23"/>
              </w:rPr>
            </w:pP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Percentage of students </w:t>
            </w:r>
            <w:r w:rsidRPr="00643860">
              <w:rPr>
                <w:rFonts w:ascii="Tw Cen MT" w:eastAsia="Times New Roman" w:hAnsi="Tw Cen MT"/>
                <w:kern w:val="0"/>
                <w:szCs w:val="23"/>
                <w:u w:val="single"/>
                <w:lang w:eastAsia="en-US"/>
                <w14:ligatures w14:val="none"/>
              </w:rPr>
              <w:t>passing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 the End of Pathway Assessment in FY2015</w:t>
            </w:r>
          </w:p>
        </w:tc>
      </w:tr>
      <w:tr w:rsidR="00B16928" w:rsidRPr="002B1A15" w:rsidTr="008A1441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  <w:tr w:rsidR="00B16928" w:rsidRPr="002B1A15" w:rsidTr="008A1441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</w:tbl>
    <w:p w:rsidR="00F62144" w:rsidRDefault="00F62144" w:rsidP="00C51F1F">
      <w:pPr>
        <w:spacing w:after="60" w:line="240" w:lineRule="auto"/>
        <w:rPr>
          <w:rFonts w:ascii="Tw Cen MT" w:eastAsia="Tw Cen MT" w:hAnsi="Tw Cen MT"/>
          <w:color w:val="775F55" w:themeColor="text2"/>
          <w:sz w:val="28"/>
          <w:szCs w:val="28"/>
        </w:rPr>
      </w:pPr>
    </w:p>
    <w:p w:rsidR="008A1441" w:rsidRDefault="008A1441" w:rsidP="007A7A4D">
      <w:pPr>
        <w:pStyle w:val="ListParagraph"/>
        <w:numPr>
          <w:ilvl w:val="0"/>
          <w:numId w:val="48"/>
        </w:numPr>
        <w:spacing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INDUSTRY CERTIFICATION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A1441" w:rsidRPr="00702ABD" w:rsidTr="008A1441">
        <w:tc>
          <w:tcPr>
            <w:tcW w:w="10075" w:type="dxa"/>
            <w:shd w:val="clear" w:color="auto" w:fill="D9D9D9"/>
          </w:tcPr>
          <w:p w:rsidR="00D14FE4" w:rsidRPr="00C905F8" w:rsidRDefault="00D14FE4" w:rsidP="00C905F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C905F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Program has received industry certification</w:t>
            </w:r>
          </w:p>
          <w:p w:rsidR="008A1441" w:rsidRPr="00C905F8" w:rsidRDefault="00D14FE4" w:rsidP="00C905F8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ind w:left="337" w:hanging="293"/>
              <w:rPr>
                <w:rFonts w:cs="Arial"/>
                <w:b/>
                <w:szCs w:val="23"/>
              </w:rPr>
            </w:pPr>
            <w:r w:rsidRPr="00C905F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Documentation available indicating year of certification/re-certification</w:t>
            </w:r>
          </w:p>
        </w:tc>
      </w:tr>
      <w:tr w:rsidR="00B16928" w:rsidRPr="00702ABD" w:rsidTr="008A1441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  <w:tr w:rsidR="00B16928" w:rsidRPr="00702ABD" w:rsidTr="008A1441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</w:tbl>
    <w:p w:rsidR="00C51F1F" w:rsidRDefault="00C51F1F" w:rsidP="00C51F1F">
      <w:pPr>
        <w:spacing w:after="60" w:line="240" w:lineRule="auto"/>
        <w:rPr>
          <w:rFonts w:ascii="Tw Cen MT" w:eastAsia="Tw Cen MT" w:hAnsi="Tw Cen MT"/>
          <w:color w:val="775F55" w:themeColor="text2"/>
          <w:sz w:val="28"/>
          <w:szCs w:val="28"/>
        </w:rPr>
      </w:pPr>
    </w:p>
    <w:p w:rsidR="00892DE0" w:rsidRDefault="00892DE0" w:rsidP="007A7A4D">
      <w:pPr>
        <w:pStyle w:val="ListParagraph"/>
        <w:numPr>
          <w:ilvl w:val="0"/>
          <w:numId w:val="48"/>
        </w:numPr>
        <w:spacing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PROFESSIONAL DEVELOPMENT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92DE0" w:rsidRPr="00702ABD" w:rsidTr="00892DE0">
        <w:tc>
          <w:tcPr>
            <w:tcW w:w="10075" w:type="dxa"/>
            <w:shd w:val="clear" w:color="auto" w:fill="D9D9D9"/>
          </w:tcPr>
          <w:p w:rsidR="00C905F8" w:rsidRPr="00C905F8" w:rsidRDefault="00C905F8" w:rsidP="00C905F8">
            <w:pPr>
              <w:pStyle w:val="ListParagraph"/>
              <w:numPr>
                <w:ilvl w:val="0"/>
                <w:numId w:val="38"/>
              </w:numPr>
              <w:spacing w:before="60" w:after="0" w:line="240" w:lineRule="auto"/>
              <w:ind w:left="331" w:hanging="288"/>
              <w:rPr>
                <w:rFonts w:ascii="Tw Cen MT" w:hAnsi="Tw Cen MT"/>
                <w:szCs w:val="23"/>
              </w:rPr>
            </w:pPr>
            <w:r w:rsidRPr="00C905F8">
              <w:rPr>
                <w:rFonts w:ascii="Tw Cen MT" w:hAnsi="Tw Cen MT"/>
                <w:szCs w:val="23"/>
              </w:rPr>
              <w:t>Teacher has documentation of participation in local professional development activities</w:t>
            </w:r>
          </w:p>
          <w:p w:rsidR="00892DE0" w:rsidRPr="00C905F8" w:rsidRDefault="00C905F8" w:rsidP="00C905F8">
            <w:pPr>
              <w:pStyle w:val="ListParagraph"/>
              <w:numPr>
                <w:ilvl w:val="0"/>
                <w:numId w:val="38"/>
              </w:numPr>
              <w:spacing w:after="60" w:line="240" w:lineRule="auto"/>
              <w:ind w:left="331" w:hanging="288"/>
              <w:rPr>
                <w:rFonts w:cs="Arial"/>
                <w:b/>
                <w:szCs w:val="23"/>
              </w:rPr>
            </w:pPr>
            <w:r w:rsidRPr="00C905F8">
              <w:rPr>
                <w:rFonts w:ascii="Tw Cen MT" w:hAnsi="Tw Cen MT"/>
                <w:szCs w:val="23"/>
              </w:rPr>
              <w:t>Teacher has documentation of participation in CTAE specific state/national professional development activities</w:t>
            </w:r>
          </w:p>
        </w:tc>
      </w:tr>
      <w:tr w:rsidR="00B16928" w:rsidRPr="00702ABD" w:rsidTr="00892DE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  <w:tr w:rsidR="00B16928" w:rsidRPr="00702ABD" w:rsidTr="00892DE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</w:tbl>
    <w:p w:rsidR="00892DE0" w:rsidRDefault="00DB3A69" w:rsidP="007A7A4D">
      <w:pPr>
        <w:pStyle w:val="ListParagraph"/>
        <w:numPr>
          <w:ilvl w:val="0"/>
          <w:numId w:val="48"/>
        </w:numPr>
        <w:spacing w:before="240"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lastRenderedPageBreak/>
        <w:t>STUDENT ORGANIZATIONS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92DE0" w:rsidRPr="00702ABD" w:rsidTr="00892DE0">
        <w:tc>
          <w:tcPr>
            <w:tcW w:w="10075" w:type="dxa"/>
            <w:shd w:val="clear" w:color="auto" w:fill="D9D9D9"/>
          </w:tcPr>
          <w:p w:rsidR="002B1E18" w:rsidRPr="002B1E18" w:rsidRDefault="002B1E18" w:rsidP="002B1E18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Program has an active, program specific CTSO with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appropriate </w:t>
            </w: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members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hip</w:t>
            </w:r>
          </w:p>
          <w:p w:rsidR="00892DE0" w:rsidRPr="002B1E18" w:rsidRDefault="002B1E18" w:rsidP="002B1E18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37" w:hanging="293"/>
              <w:jc w:val="both"/>
              <w:rPr>
                <w:rFonts w:cs="Arial"/>
                <w:b/>
                <w:szCs w:val="23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Students enrolled in the program participate in local, state, or national leadership and/or competitive events</w:t>
            </w:r>
          </w:p>
        </w:tc>
      </w:tr>
      <w:tr w:rsidR="00B16928" w:rsidRPr="00702ABD" w:rsidTr="00892DE0">
        <w:tc>
          <w:tcPr>
            <w:tcW w:w="10075" w:type="dxa"/>
          </w:tcPr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B16928" w:rsidRPr="00702ABD" w:rsidTr="00892DE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</w:tbl>
    <w:p w:rsidR="00B16928" w:rsidRDefault="00B16928" w:rsidP="00132721">
      <w:pPr>
        <w:spacing w:after="0" w:line="240" w:lineRule="auto"/>
        <w:rPr>
          <w:rFonts w:ascii="Tw Cen MT" w:eastAsia="Tw Cen MT" w:hAnsi="Tw Cen MT"/>
          <w:color w:val="775F55" w:themeColor="text2"/>
          <w:sz w:val="28"/>
          <w:szCs w:val="28"/>
        </w:rPr>
      </w:pPr>
    </w:p>
    <w:p w:rsidR="00892DE0" w:rsidRDefault="00DB3A69" w:rsidP="007A7A4D">
      <w:pPr>
        <w:pStyle w:val="ListParagraph"/>
        <w:numPr>
          <w:ilvl w:val="0"/>
          <w:numId w:val="48"/>
        </w:numPr>
        <w:spacing w:after="60" w:line="240" w:lineRule="auto"/>
        <w:ind w:left="0" w:hanging="274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CLASSROOM/LAB SAFETY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92DE0" w:rsidRPr="00702ABD" w:rsidTr="00892DE0">
        <w:tc>
          <w:tcPr>
            <w:tcW w:w="10075" w:type="dxa"/>
            <w:shd w:val="clear" w:color="auto" w:fill="D9D9D9"/>
          </w:tcPr>
          <w:p w:rsidR="002B1E18" w:rsidRPr="002B1E18" w:rsidRDefault="002B1E18" w:rsidP="002B1E1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Classroom and lab evacuation plan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s</w:t>
            </w: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are</w:t>
            </w: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 posted and clearly visible</w:t>
            </w:r>
          </w:p>
          <w:p w:rsidR="002B1E18" w:rsidRPr="002B1E18" w:rsidRDefault="002B1E18" w:rsidP="002B1E1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If applicable, students are wearing safety glasses</w:t>
            </w:r>
          </w:p>
          <w:p w:rsidR="002B1E18" w:rsidRPr="002B1E18" w:rsidRDefault="002B1E18" w:rsidP="002B1E1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Evidence that safety is an integral part of the curriculum</w:t>
            </w:r>
          </w:p>
          <w:p w:rsidR="00892DE0" w:rsidRPr="008D6371" w:rsidRDefault="002B1E18" w:rsidP="002B1E18">
            <w:pPr>
              <w:pStyle w:val="ListParagraph"/>
              <w:numPr>
                <w:ilvl w:val="0"/>
                <w:numId w:val="40"/>
              </w:numPr>
              <w:spacing w:after="60" w:line="240" w:lineRule="auto"/>
              <w:ind w:left="337" w:hanging="293"/>
              <w:rPr>
                <w:rFonts w:cs="Arial"/>
                <w:b/>
                <w:szCs w:val="23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Appropriate safety devices are available (fire extinguisher, eye wash station, etc.)</w:t>
            </w:r>
          </w:p>
          <w:p w:rsidR="008D6371" w:rsidRPr="002B1E18" w:rsidRDefault="008D6371" w:rsidP="002B1E18">
            <w:pPr>
              <w:pStyle w:val="ListParagraph"/>
              <w:numPr>
                <w:ilvl w:val="0"/>
                <w:numId w:val="40"/>
              </w:numPr>
              <w:spacing w:after="60" w:line="240" w:lineRule="auto"/>
              <w:ind w:left="337" w:hanging="293"/>
              <w:rPr>
                <w:rFonts w:cs="Arial"/>
                <w:b/>
                <w:szCs w:val="23"/>
              </w:rPr>
            </w:pP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Classroom/lab is clean and well-organized</w:t>
            </w:r>
          </w:p>
        </w:tc>
      </w:tr>
      <w:tr w:rsidR="00B16928" w:rsidRPr="00702ABD" w:rsidTr="00892DE0">
        <w:tc>
          <w:tcPr>
            <w:tcW w:w="10075" w:type="dxa"/>
          </w:tcPr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B16928" w:rsidRPr="00702ABD" w:rsidTr="00892DE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</w:tbl>
    <w:p w:rsidR="00892DE0" w:rsidRDefault="00892DE0" w:rsidP="00132721">
      <w:pPr>
        <w:spacing w:after="0" w:line="240" w:lineRule="auto"/>
        <w:rPr>
          <w:szCs w:val="23"/>
        </w:rPr>
      </w:pPr>
    </w:p>
    <w:p w:rsidR="00892DE0" w:rsidRDefault="00546D40" w:rsidP="007A7A4D">
      <w:pPr>
        <w:pStyle w:val="ListParagraph"/>
        <w:numPr>
          <w:ilvl w:val="0"/>
          <w:numId w:val="48"/>
        </w:numPr>
        <w:spacing w:after="60" w:line="240" w:lineRule="auto"/>
        <w:ind w:left="0" w:hanging="450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EQUIPMENT AND SUPPLIES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92DE0" w:rsidRPr="00702ABD" w:rsidTr="00892DE0">
        <w:tc>
          <w:tcPr>
            <w:tcW w:w="10075" w:type="dxa"/>
            <w:shd w:val="clear" w:color="auto" w:fill="D9D9D9"/>
          </w:tcPr>
          <w:p w:rsidR="002B1E18" w:rsidRPr="002B1E18" w:rsidRDefault="002B1E18" w:rsidP="002B1E18">
            <w:pPr>
              <w:pStyle w:val="ListParagraph"/>
              <w:numPr>
                <w:ilvl w:val="0"/>
                <w:numId w:val="41"/>
              </w:numPr>
              <w:spacing w:before="60" w:after="0" w:line="240" w:lineRule="auto"/>
              <w:ind w:left="331" w:hanging="288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Facilities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are adequate for the type of program being offered</w:t>
            </w:r>
          </w:p>
          <w:p w:rsidR="002B1E18" w:rsidRPr="002B1E18" w:rsidRDefault="002B1E18" w:rsidP="002B1E1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Current inventory of equipment is on file and updated annually</w:t>
            </w:r>
          </w:p>
          <w:p w:rsidR="002B1E18" w:rsidRPr="002B1E18" w:rsidRDefault="002B1E18" w:rsidP="002B1E1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Program has an adequate budget for the purchase of materials and equipment</w:t>
            </w:r>
          </w:p>
          <w:p w:rsidR="002B1E18" w:rsidRPr="002B1E18" w:rsidRDefault="002B1E18" w:rsidP="002B1E1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Equipment and software meet or exceed current industry standards</w:t>
            </w:r>
          </w:p>
          <w:p w:rsidR="00892DE0" w:rsidRPr="00836776" w:rsidRDefault="002B1E18" w:rsidP="002B1E18">
            <w:pPr>
              <w:pStyle w:val="ListParagraph"/>
              <w:numPr>
                <w:ilvl w:val="0"/>
                <w:numId w:val="41"/>
              </w:numPr>
              <w:spacing w:after="60" w:line="240" w:lineRule="auto"/>
              <w:ind w:left="331" w:hanging="288"/>
              <w:rPr>
                <w:rFonts w:cs="Arial"/>
                <w:b/>
                <w:szCs w:val="23"/>
              </w:rPr>
            </w:pP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A written p</w:t>
            </w: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lan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exists </w:t>
            </w:r>
            <w:r w:rsidRPr="002B1E18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for equipment replacement and upgrades</w:t>
            </w:r>
          </w:p>
          <w:p w:rsidR="00836776" w:rsidRPr="002B1E18" w:rsidRDefault="00836776" w:rsidP="002B1E18">
            <w:pPr>
              <w:pStyle w:val="ListParagraph"/>
              <w:numPr>
                <w:ilvl w:val="0"/>
                <w:numId w:val="41"/>
              </w:numPr>
              <w:spacing w:after="60" w:line="240" w:lineRule="auto"/>
              <w:ind w:left="331" w:hanging="288"/>
              <w:rPr>
                <w:rFonts w:cs="Arial"/>
                <w:b/>
                <w:szCs w:val="23"/>
              </w:rPr>
            </w:pP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The teacher maintains an inventory of all equipment located in the classroom/lab</w:t>
            </w:r>
          </w:p>
        </w:tc>
      </w:tr>
      <w:tr w:rsidR="00B16928" w:rsidRPr="00702ABD" w:rsidTr="00892DE0">
        <w:tc>
          <w:tcPr>
            <w:tcW w:w="10075" w:type="dxa"/>
          </w:tcPr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B16928" w:rsidRPr="00702ABD" w:rsidTr="00892DE0">
        <w:tc>
          <w:tcPr>
            <w:tcW w:w="10075" w:type="dxa"/>
          </w:tcPr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</w:tbl>
    <w:p w:rsidR="00C51F1F" w:rsidRDefault="00C51F1F" w:rsidP="00132721">
      <w:pPr>
        <w:spacing w:after="0" w:line="240" w:lineRule="auto"/>
        <w:rPr>
          <w:rFonts w:ascii="Tw Cen MT" w:eastAsia="Tw Cen MT" w:hAnsi="Tw Cen MT"/>
          <w:color w:val="775F55" w:themeColor="text2"/>
          <w:sz w:val="28"/>
          <w:szCs w:val="28"/>
        </w:rPr>
      </w:pPr>
    </w:p>
    <w:p w:rsidR="00892DE0" w:rsidRDefault="00712307" w:rsidP="007A7A4D">
      <w:pPr>
        <w:pStyle w:val="ListParagraph"/>
        <w:numPr>
          <w:ilvl w:val="0"/>
          <w:numId w:val="48"/>
        </w:numPr>
        <w:spacing w:after="60" w:line="240" w:lineRule="auto"/>
        <w:ind w:left="0" w:hanging="450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REINFORCEMENT AND INTEGRATION OF ACADEMICS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92DE0" w:rsidRPr="00702ABD" w:rsidTr="00892DE0">
        <w:tc>
          <w:tcPr>
            <w:tcW w:w="10075" w:type="dxa"/>
            <w:shd w:val="clear" w:color="auto" w:fill="D9D9D9"/>
          </w:tcPr>
          <w:p w:rsidR="00892DE0" w:rsidRPr="00751F35" w:rsidRDefault="00751F35" w:rsidP="00751F35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31" w:hanging="288"/>
              <w:rPr>
                <w:rFonts w:cs="Arial"/>
                <w:b/>
                <w:szCs w:val="23"/>
              </w:rPr>
            </w:pPr>
            <w:r>
              <w:rPr>
                <w:rFonts w:ascii="Tw Cen MT" w:hAnsi="Tw Cen MT"/>
                <w:szCs w:val="23"/>
              </w:rPr>
              <w:t>Evidence exists</w:t>
            </w:r>
            <w:r w:rsidRPr="00751F35">
              <w:rPr>
                <w:rFonts w:ascii="Tw Cen MT" w:hAnsi="Tw Cen MT"/>
                <w:szCs w:val="23"/>
              </w:rPr>
              <w:t xml:space="preserve"> </w:t>
            </w:r>
            <w:r>
              <w:rPr>
                <w:rFonts w:ascii="Tw Cen MT" w:hAnsi="Tw Cen MT"/>
                <w:szCs w:val="23"/>
              </w:rPr>
              <w:t>indicating</w:t>
            </w:r>
            <w:r w:rsidRPr="00751F35">
              <w:rPr>
                <w:rFonts w:ascii="Tw Cen MT" w:hAnsi="Tw Cen MT"/>
                <w:szCs w:val="23"/>
              </w:rPr>
              <w:t xml:space="preserve"> academics are </w:t>
            </w:r>
            <w:r>
              <w:rPr>
                <w:rFonts w:ascii="Tw Cen MT" w:hAnsi="Tw Cen MT"/>
                <w:szCs w:val="23"/>
              </w:rPr>
              <w:t xml:space="preserve">taught and </w:t>
            </w:r>
            <w:r w:rsidRPr="00751F35">
              <w:rPr>
                <w:rFonts w:ascii="Tw Cen MT" w:hAnsi="Tw Cen MT"/>
                <w:szCs w:val="23"/>
              </w:rPr>
              <w:t>reinforced in the curriculum</w:t>
            </w:r>
          </w:p>
        </w:tc>
      </w:tr>
      <w:tr w:rsidR="00B16928" w:rsidRPr="00702ABD" w:rsidTr="00892DE0">
        <w:tc>
          <w:tcPr>
            <w:tcW w:w="10075" w:type="dxa"/>
          </w:tcPr>
          <w:p w:rsidR="00B16928" w:rsidRPr="00132721" w:rsidRDefault="00B16928" w:rsidP="00132721">
            <w:pPr>
              <w:spacing w:after="120" w:line="240" w:lineRule="auto"/>
              <w:rPr>
                <w:sz w:val="20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  <w:tr w:rsidR="00B16928" w:rsidRPr="00702ABD" w:rsidTr="00892DE0">
        <w:tc>
          <w:tcPr>
            <w:tcW w:w="10075" w:type="dxa"/>
          </w:tcPr>
          <w:p w:rsidR="00B16928" w:rsidRPr="00132721" w:rsidRDefault="00B16928" w:rsidP="00132721">
            <w:pPr>
              <w:spacing w:after="120" w:line="240" w:lineRule="auto"/>
              <w:rPr>
                <w:sz w:val="20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Pr="00132721" w:rsidRDefault="00B16928" w:rsidP="00B16928">
            <w:pPr>
              <w:spacing w:before="120" w:after="120" w:line="240" w:lineRule="auto"/>
              <w:rPr>
                <w:sz w:val="20"/>
              </w:rPr>
            </w:pPr>
          </w:p>
        </w:tc>
      </w:tr>
    </w:tbl>
    <w:p w:rsidR="00892DE0" w:rsidRDefault="00712307" w:rsidP="007A7A4D">
      <w:pPr>
        <w:pStyle w:val="ListParagraph"/>
        <w:numPr>
          <w:ilvl w:val="0"/>
          <w:numId w:val="48"/>
        </w:numPr>
        <w:spacing w:before="240" w:after="60" w:line="240" w:lineRule="auto"/>
        <w:ind w:left="0" w:hanging="446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lastRenderedPageBreak/>
        <w:t>SPECIAL POPULATION STUDENTS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892DE0" w:rsidRPr="00702ABD" w:rsidTr="00892DE0">
        <w:tc>
          <w:tcPr>
            <w:tcW w:w="10075" w:type="dxa"/>
            <w:shd w:val="clear" w:color="auto" w:fill="D9D9D9"/>
          </w:tcPr>
          <w:p w:rsidR="00751F35" w:rsidRPr="00751F35" w:rsidRDefault="00751F35" w:rsidP="00751F3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Special population students with an IEP </w:t>
            </w:r>
            <w:r w:rsidRPr="00751F3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receive </w:t>
            </w:r>
            <w:r w:rsidRPr="00643860">
              <w:rPr>
                <w:rFonts w:ascii="Tw Cen MT" w:eastAsia="Times New Roman" w:hAnsi="Tw Cen MT"/>
                <w:i/>
                <w:kern w:val="0"/>
                <w:szCs w:val="23"/>
                <w:lang w:eastAsia="en-US"/>
                <w14:ligatures w14:val="none"/>
              </w:rPr>
              <w:t>appropriate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 </w:t>
            </w:r>
            <w:r w:rsidRPr="00751F3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assistance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in the CTAE classroom/lab</w:t>
            </w:r>
          </w:p>
          <w:p w:rsidR="00751F35" w:rsidRPr="00751F35" w:rsidRDefault="00751F35" w:rsidP="00751F3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751F3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Program has a parapro who assists with special needs students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 when needed</w:t>
            </w:r>
          </w:p>
          <w:p w:rsidR="00892DE0" w:rsidRPr="00836776" w:rsidRDefault="00751F35" w:rsidP="00836776">
            <w:pPr>
              <w:pStyle w:val="ListParagraph"/>
              <w:numPr>
                <w:ilvl w:val="0"/>
                <w:numId w:val="42"/>
              </w:numPr>
              <w:spacing w:after="60" w:line="240" w:lineRule="auto"/>
              <w:ind w:left="337" w:hanging="293"/>
              <w:jc w:val="both"/>
              <w:rPr>
                <w:rFonts w:cs="Arial"/>
                <w:b/>
                <w:szCs w:val="23"/>
              </w:rPr>
            </w:pPr>
            <w:r w:rsidRPr="00751F3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The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CTAE </w:t>
            </w:r>
            <w:r w:rsidRPr="00751F3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teacher is involved in the </w:t>
            </w:r>
            <w:r w:rsidR="00775F13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placement of </w:t>
            </w:r>
            <w:r w:rsidRPr="00751F35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students in the program</w:t>
            </w:r>
          </w:p>
          <w:p w:rsidR="00836776" w:rsidRPr="00751F35" w:rsidRDefault="00836776" w:rsidP="00836776">
            <w:pPr>
              <w:pStyle w:val="ListParagraph"/>
              <w:numPr>
                <w:ilvl w:val="0"/>
                <w:numId w:val="42"/>
              </w:numPr>
              <w:spacing w:after="60" w:line="240" w:lineRule="auto"/>
              <w:ind w:left="337" w:hanging="293"/>
              <w:jc w:val="both"/>
              <w:rPr>
                <w:rFonts w:cs="Arial"/>
                <w:b/>
                <w:szCs w:val="23"/>
              </w:rPr>
            </w:pP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The CTAE teacher attends IEP meetings of students enrolled in the program</w:t>
            </w:r>
            <w:bookmarkStart w:id="0" w:name="_GoBack"/>
            <w:bookmarkEnd w:id="0"/>
          </w:p>
        </w:tc>
      </w:tr>
      <w:tr w:rsidR="00B16928" w:rsidRPr="00702ABD" w:rsidTr="00892DE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  <w:tr w:rsidR="00B16928" w:rsidRPr="00702ABD" w:rsidTr="00892DE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</w:tbl>
    <w:p w:rsidR="00132721" w:rsidRDefault="00132721" w:rsidP="00712307">
      <w:pPr>
        <w:spacing w:after="60" w:line="240" w:lineRule="auto"/>
        <w:rPr>
          <w:rFonts w:ascii="Tw Cen MT" w:eastAsia="Tw Cen MT" w:hAnsi="Tw Cen MT"/>
          <w:color w:val="775F55" w:themeColor="text2"/>
          <w:sz w:val="28"/>
          <w:szCs w:val="28"/>
        </w:rPr>
      </w:pPr>
    </w:p>
    <w:p w:rsidR="00712307" w:rsidRDefault="00B4123F" w:rsidP="007A7A4D">
      <w:pPr>
        <w:pStyle w:val="ListParagraph"/>
        <w:numPr>
          <w:ilvl w:val="0"/>
          <w:numId w:val="48"/>
        </w:numPr>
        <w:spacing w:after="60" w:line="240" w:lineRule="auto"/>
        <w:ind w:left="0" w:hanging="450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NONTRADITIONAL CAREERS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712307" w:rsidRPr="00702ABD" w:rsidTr="005C0040">
        <w:tc>
          <w:tcPr>
            <w:tcW w:w="10075" w:type="dxa"/>
            <w:shd w:val="clear" w:color="auto" w:fill="D9D9D9"/>
          </w:tcPr>
          <w:p w:rsidR="00836776" w:rsidRPr="00836776" w:rsidRDefault="00836776" w:rsidP="00836776">
            <w:pPr>
              <w:pStyle w:val="ListParagraph"/>
              <w:numPr>
                <w:ilvl w:val="0"/>
                <w:numId w:val="44"/>
              </w:numPr>
              <w:spacing w:before="60" w:after="0" w:line="240" w:lineRule="auto"/>
              <w:ind w:left="331" w:hanging="288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Program recruitment materials are nondiscriminatory based on sex, race, color, national origin, or disabilities</w:t>
            </w:r>
          </w:p>
          <w:p w:rsidR="00712307" w:rsidRPr="00836776" w:rsidRDefault="00836776" w:rsidP="00836776">
            <w:pPr>
              <w:pStyle w:val="ListParagraph"/>
              <w:numPr>
                <w:ilvl w:val="0"/>
                <w:numId w:val="44"/>
              </w:numPr>
              <w:spacing w:after="60" w:line="240" w:lineRule="auto"/>
              <w:ind w:left="331" w:hanging="288"/>
              <w:jc w:val="both"/>
              <w:rPr>
                <w:rFonts w:cs="Arial"/>
                <w:b/>
                <w:szCs w:val="23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Program has appropriate representation of underrepresented gender</w:t>
            </w:r>
          </w:p>
        </w:tc>
      </w:tr>
      <w:tr w:rsidR="00B16928" w:rsidRPr="00702ABD" w:rsidTr="005C004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  <w:tr w:rsidR="00B16928" w:rsidRPr="00702ABD" w:rsidTr="005C004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</w:tbl>
    <w:p w:rsidR="00712307" w:rsidRDefault="00712307" w:rsidP="00C51F1F">
      <w:pPr>
        <w:spacing w:after="60" w:line="240" w:lineRule="auto"/>
        <w:rPr>
          <w:szCs w:val="23"/>
        </w:rPr>
      </w:pPr>
    </w:p>
    <w:p w:rsidR="00712307" w:rsidRDefault="00B4123F" w:rsidP="007A7A4D">
      <w:pPr>
        <w:pStyle w:val="ListParagraph"/>
        <w:numPr>
          <w:ilvl w:val="0"/>
          <w:numId w:val="48"/>
        </w:numPr>
        <w:spacing w:after="60" w:line="240" w:lineRule="auto"/>
        <w:ind w:left="0" w:hanging="450"/>
        <w:rPr>
          <w:rFonts w:ascii="Tw Cen MT" w:eastAsia="Tw Cen MT" w:hAnsi="Tw Cen MT"/>
          <w:color w:val="775F55" w:themeColor="text2"/>
          <w:sz w:val="28"/>
          <w:szCs w:val="28"/>
        </w:rPr>
      </w:pPr>
      <w:r>
        <w:rPr>
          <w:rFonts w:ascii="Tw Cen MT" w:eastAsia="Tw Cen MT" w:hAnsi="Tw Cen MT"/>
          <w:color w:val="775F55" w:themeColor="text2"/>
          <w:sz w:val="28"/>
          <w:szCs w:val="28"/>
        </w:rPr>
        <w:t>ADVISORY COMMITTEES/INDUSTRY COLLABORATION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712307" w:rsidRPr="00702ABD" w:rsidTr="005C0040">
        <w:tc>
          <w:tcPr>
            <w:tcW w:w="10075" w:type="dxa"/>
            <w:shd w:val="clear" w:color="auto" w:fill="D9D9D9"/>
          </w:tcPr>
          <w:p w:rsidR="00836776" w:rsidRPr="00836776" w:rsidRDefault="00836776" w:rsidP="00836776">
            <w:pPr>
              <w:pStyle w:val="ListParagraph"/>
              <w:numPr>
                <w:ilvl w:val="0"/>
                <w:numId w:val="46"/>
              </w:numPr>
              <w:spacing w:before="60" w:after="0" w:line="240" w:lineRule="auto"/>
              <w:ind w:left="331" w:hanging="288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Program advisory committee meeting minutes are available for the past two (2) years</w:t>
            </w:r>
          </w:p>
          <w:p w:rsidR="00836776" w:rsidRPr="00836776" w:rsidRDefault="00836776" w:rsidP="0083677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At least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50%</w:t>
            </w: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 </w:t>
            </w:r>
            <w:r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 xml:space="preserve">of the committee </w:t>
            </w: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members are from business/industry</w:t>
            </w:r>
          </w:p>
          <w:p w:rsidR="00836776" w:rsidRPr="00836776" w:rsidRDefault="00836776" w:rsidP="0083677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37" w:hanging="293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Advisory committee has met at least twice per year for the past two years</w:t>
            </w:r>
          </w:p>
          <w:p w:rsidR="00712307" w:rsidRPr="00836776" w:rsidRDefault="00836776" w:rsidP="00836776">
            <w:pPr>
              <w:pStyle w:val="ListParagraph"/>
              <w:numPr>
                <w:ilvl w:val="0"/>
                <w:numId w:val="46"/>
              </w:numPr>
              <w:spacing w:after="60" w:line="240" w:lineRule="auto"/>
              <w:ind w:left="331" w:hanging="288"/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</w:pPr>
            <w:r w:rsidRPr="00836776">
              <w:rPr>
                <w:rFonts w:ascii="Tw Cen MT" w:eastAsia="Times New Roman" w:hAnsi="Tw Cen MT"/>
                <w:kern w:val="0"/>
                <w:szCs w:val="23"/>
                <w:lang w:eastAsia="en-US"/>
                <w14:ligatures w14:val="none"/>
              </w:rPr>
              <w:t>Middle school and postsecondary teachers/staff are involved</w:t>
            </w:r>
          </w:p>
        </w:tc>
      </w:tr>
      <w:tr w:rsidR="00B16928" w:rsidRPr="00702ABD" w:rsidTr="005C004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Findings:</w:t>
            </w:r>
            <w:r>
              <w:rPr>
                <w:szCs w:val="23"/>
              </w:rPr>
              <w:t xml:space="preserve"> </w:t>
            </w:r>
          </w:p>
          <w:p w:rsidR="00B16928" w:rsidRPr="00A87CA7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  <w:tr w:rsidR="00B16928" w:rsidRPr="00702ABD" w:rsidTr="005C0040">
        <w:tc>
          <w:tcPr>
            <w:tcW w:w="10075" w:type="dxa"/>
          </w:tcPr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  <w:r w:rsidRPr="00C905F8">
              <w:rPr>
                <w:b/>
                <w:szCs w:val="23"/>
              </w:rPr>
              <w:t>Recommendation:</w:t>
            </w:r>
            <w:r>
              <w:rPr>
                <w:szCs w:val="23"/>
              </w:rPr>
              <w:t xml:space="preserve"> </w:t>
            </w:r>
          </w:p>
          <w:p w:rsidR="00B16928" w:rsidRDefault="00B16928" w:rsidP="00B16928">
            <w:pPr>
              <w:spacing w:before="120" w:after="120" w:line="240" w:lineRule="auto"/>
              <w:rPr>
                <w:szCs w:val="23"/>
              </w:rPr>
            </w:pPr>
          </w:p>
        </w:tc>
      </w:tr>
    </w:tbl>
    <w:p w:rsidR="00BB3C3C" w:rsidRDefault="00BB3C3C" w:rsidP="00873625">
      <w:pPr>
        <w:rPr>
          <w:szCs w:val="23"/>
        </w:rPr>
      </w:pPr>
    </w:p>
    <w:p w:rsidR="00BB3C3C" w:rsidRDefault="00BB3C3C">
      <w:pPr>
        <w:spacing w:after="200" w:line="276" w:lineRule="auto"/>
        <w:rPr>
          <w:szCs w:val="23"/>
        </w:rPr>
      </w:pPr>
    </w:p>
    <w:sectPr w:rsidR="00BB3C3C" w:rsidSect="00132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810" w:right="1080" w:bottom="810" w:left="1080" w:header="720" w:footer="3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E0" w:rsidRDefault="00892DE0">
      <w:pPr>
        <w:spacing w:after="0" w:line="240" w:lineRule="auto"/>
      </w:pPr>
      <w:r>
        <w:separator/>
      </w:r>
    </w:p>
  </w:endnote>
  <w:endnote w:type="continuationSeparator" w:id="0">
    <w:p w:rsidR="00892DE0" w:rsidRDefault="0089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E0" w:rsidRDefault="00892DE0"/>
  <w:p w:rsidR="00892DE0" w:rsidRDefault="00892DE0" w:rsidP="005A25AF">
    <w:pPr>
      <w:pStyle w:val="FooterOdd"/>
      <w:spacing w:after="0" w:line="240" w:lineRule="auto"/>
      <w:jc w:val="center"/>
    </w:pPr>
    <w:r>
      <w:t>Georgia Department of Education</w:t>
    </w:r>
  </w:p>
  <w:p w:rsidR="00892DE0" w:rsidRDefault="00892DE0" w:rsidP="005A25AF">
    <w:pPr>
      <w:pStyle w:val="FooterEven"/>
      <w:spacing w:after="0" w:line="240" w:lineRule="auto"/>
      <w:jc w:val="center"/>
    </w:pPr>
    <w:r>
      <w:t>February 1, 2015</w:t>
    </w:r>
  </w:p>
  <w:p w:rsidR="00892DE0" w:rsidRDefault="00892DE0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3B6D" w:rsidRPr="00F83B6D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E0" w:rsidRDefault="00892DE0"/>
  <w:p w:rsidR="00892DE0" w:rsidRDefault="00892DE0" w:rsidP="00401276">
    <w:pPr>
      <w:pStyle w:val="FooterOdd"/>
      <w:spacing w:after="0" w:line="240" w:lineRule="auto"/>
      <w:jc w:val="center"/>
    </w:pPr>
    <w:r>
      <w:t>Georgia Department of Education</w:t>
    </w:r>
  </w:p>
  <w:p w:rsidR="00892DE0" w:rsidRDefault="00892DE0" w:rsidP="00401276">
    <w:pPr>
      <w:pStyle w:val="FooterOdd"/>
      <w:spacing w:after="0" w:line="240" w:lineRule="auto"/>
      <w:jc w:val="center"/>
    </w:pPr>
    <w:r>
      <w:t>February 1, 2015</w:t>
    </w:r>
  </w:p>
  <w:p w:rsidR="00DD0EF5" w:rsidRDefault="00DD0EF5" w:rsidP="00401276">
    <w:pPr>
      <w:pStyle w:val="FooterOdd"/>
      <w:spacing w:after="0" w:line="240" w:lineRule="auto"/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41D77" w:rsidRPr="00641D77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E0" w:rsidRDefault="00892DE0">
      <w:pPr>
        <w:spacing w:after="0" w:line="240" w:lineRule="auto"/>
      </w:pPr>
      <w:r>
        <w:separator/>
      </w:r>
    </w:p>
  </w:footnote>
  <w:footnote w:type="continuationSeparator" w:id="0">
    <w:p w:rsidR="00892DE0" w:rsidRDefault="0089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E0" w:rsidRDefault="00641D77" w:rsidP="002A7EA9">
    <w:pPr>
      <w:pStyle w:val="HeaderEven"/>
      <w:jc w:val="right"/>
    </w:pPr>
    <w:sdt>
      <w:sdtPr>
        <w:alias w:val="Title"/>
        <w:id w:val="-23301140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92DE0">
          <w:t>Perkins IV Monitoring and Risk Assessment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E0" w:rsidRDefault="00641D77">
    <w:pPr>
      <w:pStyle w:val="HeaderOdd"/>
    </w:pPr>
    <w:sdt>
      <w:sdtPr>
        <w:alias w:val="Title"/>
        <w:id w:val="5806546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92DE0">
          <w:t>Perkins IV Monitoring and Risk Assessment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6D" w:rsidRPr="00F83B6D" w:rsidRDefault="00F83B6D" w:rsidP="00F83B6D">
    <w:pPr>
      <w:pStyle w:val="Header"/>
      <w:pBdr>
        <w:bottom w:val="single" w:sz="12" w:space="1" w:color="548AB7" w:themeColor="accent1" w:themeShade="BF"/>
      </w:pBdr>
      <w:rPr>
        <w14:textOutline w14:w="9525" w14:cap="rnd" w14:cmpd="sng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82669D"/>
    <w:multiLevelType w:val="hybridMultilevel"/>
    <w:tmpl w:val="C7CC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95A56"/>
    <w:multiLevelType w:val="hybridMultilevel"/>
    <w:tmpl w:val="DB36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46A73"/>
    <w:multiLevelType w:val="hybridMultilevel"/>
    <w:tmpl w:val="6BB2F534"/>
    <w:lvl w:ilvl="0" w:tplc="88F45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3747"/>
    <w:multiLevelType w:val="hybridMultilevel"/>
    <w:tmpl w:val="BFA8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F6E45"/>
    <w:multiLevelType w:val="hybridMultilevel"/>
    <w:tmpl w:val="464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F0F9D"/>
    <w:multiLevelType w:val="hybridMultilevel"/>
    <w:tmpl w:val="6AE8C286"/>
    <w:lvl w:ilvl="0" w:tplc="21EC9F78">
      <w:start w:val="1"/>
      <w:numFmt w:val="decimal"/>
      <w:lvlText w:val="%1."/>
      <w:lvlJc w:val="left"/>
      <w:pPr>
        <w:ind w:left="720" w:hanging="360"/>
      </w:pPr>
      <w:rPr>
        <w:rFonts w:ascii="Tw Cen MT" w:eastAsia="Tw Cen MT" w:hAnsi="Tw Cen M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7B5C"/>
    <w:multiLevelType w:val="hybridMultilevel"/>
    <w:tmpl w:val="82E2B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4119D"/>
    <w:multiLevelType w:val="hybridMultilevel"/>
    <w:tmpl w:val="F29C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E957DB"/>
    <w:multiLevelType w:val="hybridMultilevel"/>
    <w:tmpl w:val="442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AB1D29"/>
    <w:multiLevelType w:val="hybridMultilevel"/>
    <w:tmpl w:val="6AC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22EB6"/>
    <w:multiLevelType w:val="hybridMultilevel"/>
    <w:tmpl w:val="5848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B6E2D"/>
    <w:multiLevelType w:val="hybridMultilevel"/>
    <w:tmpl w:val="18F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556C"/>
    <w:multiLevelType w:val="hybridMultilevel"/>
    <w:tmpl w:val="A07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6C4F"/>
    <w:multiLevelType w:val="hybridMultilevel"/>
    <w:tmpl w:val="7CD2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79523A"/>
    <w:multiLevelType w:val="hybridMultilevel"/>
    <w:tmpl w:val="A2F6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021D2"/>
    <w:multiLevelType w:val="hybridMultilevel"/>
    <w:tmpl w:val="5C06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704983"/>
    <w:multiLevelType w:val="hybridMultilevel"/>
    <w:tmpl w:val="EBCE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A20ED"/>
    <w:multiLevelType w:val="hybridMultilevel"/>
    <w:tmpl w:val="920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57AD8"/>
    <w:multiLevelType w:val="hybridMultilevel"/>
    <w:tmpl w:val="EBF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>
    <w:nsid w:val="6CD323FD"/>
    <w:multiLevelType w:val="hybridMultilevel"/>
    <w:tmpl w:val="C7D61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FE6B96"/>
    <w:multiLevelType w:val="hybridMultilevel"/>
    <w:tmpl w:val="DB62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A0B1A"/>
    <w:multiLevelType w:val="hybridMultilevel"/>
    <w:tmpl w:val="305C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C3FFE"/>
    <w:multiLevelType w:val="hybridMultilevel"/>
    <w:tmpl w:val="845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9"/>
  </w:num>
  <w:num w:numId="25">
    <w:abstractNumId w:val="7"/>
  </w:num>
  <w:num w:numId="26">
    <w:abstractNumId w:val="27"/>
  </w:num>
  <w:num w:numId="27">
    <w:abstractNumId w:val="29"/>
  </w:num>
  <w:num w:numId="28">
    <w:abstractNumId w:val="12"/>
  </w:num>
  <w:num w:numId="29">
    <w:abstractNumId w:val="6"/>
  </w:num>
  <w:num w:numId="30">
    <w:abstractNumId w:val="25"/>
  </w:num>
  <w:num w:numId="31">
    <w:abstractNumId w:val="22"/>
  </w:num>
  <w:num w:numId="32">
    <w:abstractNumId w:val="30"/>
  </w:num>
  <w:num w:numId="33">
    <w:abstractNumId w:val="21"/>
  </w:num>
  <w:num w:numId="34">
    <w:abstractNumId w:val="8"/>
  </w:num>
  <w:num w:numId="35">
    <w:abstractNumId w:val="28"/>
  </w:num>
  <w:num w:numId="36">
    <w:abstractNumId w:val="10"/>
  </w:num>
  <w:num w:numId="37">
    <w:abstractNumId w:val="15"/>
  </w:num>
  <w:num w:numId="38">
    <w:abstractNumId w:val="5"/>
  </w:num>
  <w:num w:numId="39">
    <w:abstractNumId w:val="20"/>
  </w:num>
  <w:num w:numId="40">
    <w:abstractNumId w:val="18"/>
  </w:num>
  <w:num w:numId="41">
    <w:abstractNumId w:val="24"/>
  </w:num>
  <w:num w:numId="42">
    <w:abstractNumId w:val="17"/>
  </w:num>
  <w:num w:numId="43">
    <w:abstractNumId w:val="13"/>
  </w:num>
  <w:num w:numId="44">
    <w:abstractNumId w:val="19"/>
  </w:num>
  <w:num w:numId="45">
    <w:abstractNumId w:val="23"/>
  </w:num>
  <w:num w:numId="46">
    <w:abstractNumId w:val="26"/>
  </w:num>
  <w:num w:numId="47">
    <w:abstractNumId w:val="3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2"/>
    <w:rsid w:val="000058A6"/>
    <w:rsid w:val="0002544A"/>
    <w:rsid w:val="0003648A"/>
    <w:rsid w:val="000C444D"/>
    <w:rsid w:val="0013240D"/>
    <w:rsid w:val="00132721"/>
    <w:rsid w:val="001417BD"/>
    <w:rsid w:val="0014191C"/>
    <w:rsid w:val="0018523E"/>
    <w:rsid w:val="001B4945"/>
    <w:rsid w:val="001D3902"/>
    <w:rsid w:val="001E68D6"/>
    <w:rsid w:val="0023313B"/>
    <w:rsid w:val="002A5DC6"/>
    <w:rsid w:val="002A7EA9"/>
    <w:rsid w:val="002B1A15"/>
    <w:rsid w:val="002B1E18"/>
    <w:rsid w:val="002D2E24"/>
    <w:rsid w:val="0037059C"/>
    <w:rsid w:val="003936FE"/>
    <w:rsid w:val="00401276"/>
    <w:rsid w:val="00401C64"/>
    <w:rsid w:val="004A620D"/>
    <w:rsid w:val="00534F62"/>
    <w:rsid w:val="00546D40"/>
    <w:rsid w:val="00547DC1"/>
    <w:rsid w:val="00561441"/>
    <w:rsid w:val="00585BE7"/>
    <w:rsid w:val="005A25AF"/>
    <w:rsid w:val="00620EF1"/>
    <w:rsid w:val="00634F56"/>
    <w:rsid w:val="00641D77"/>
    <w:rsid w:val="00643860"/>
    <w:rsid w:val="0064763B"/>
    <w:rsid w:val="00696D75"/>
    <w:rsid w:val="006A4712"/>
    <w:rsid w:val="006B4BC0"/>
    <w:rsid w:val="006E0719"/>
    <w:rsid w:val="006E7C16"/>
    <w:rsid w:val="00712307"/>
    <w:rsid w:val="00751F35"/>
    <w:rsid w:val="00767A14"/>
    <w:rsid w:val="00775F13"/>
    <w:rsid w:val="00782F94"/>
    <w:rsid w:val="007A7A4D"/>
    <w:rsid w:val="00817698"/>
    <w:rsid w:val="0082387B"/>
    <w:rsid w:val="00836776"/>
    <w:rsid w:val="00863D83"/>
    <w:rsid w:val="00873625"/>
    <w:rsid w:val="00892DE0"/>
    <w:rsid w:val="008A1441"/>
    <w:rsid w:val="008D2E6A"/>
    <w:rsid w:val="008D5044"/>
    <w:rsid w:val="008D6371"/>
    <w:rsid w:val="00933BB6"/>
    <w:rsid w:val="00974489"/>
    <w:rsid w:val="009B2256"/>
    <w:rsid w:val="00A87CA7"/>
    <w:rsid w:val="00AA48D2"/>
    <w:rsid w:val="00B16928"/>
    <w:rsid w:val="00B4123F"/>
    <w:rsid w:val="00B70FDE"/>
    <w:rsid w:val="00BB3C3C"/>
    <w:rsid w:val="00BC21A2"/>
    <w:rsid w:val="00BC4A0A"/>
    <w:rsid w:val="00BD5437"/>
    <w:rsid w:val="00C04092"/>
    <w:rsid w:val="00C23A15"/>
    <w:rsid w:val="00C41FF9"/>
    <w:rsid w:val="00C51F1F"/>
    <w:rsid w:val="00C73328"/>
    <w:rsid w:val="00C75042"/>
    <w:rsid w:val="00C84D3B"/>
    <w:rsid w:val="00C84E7E"/>
    <w:rsid w:val="00C905F8"/>
    <w:rsid w:val="00CA30B0"/>
    <w:rsid w:val="00CB7ABC"/>
    <w:rsid w:val="00D14FE4"/>
    <w:rsid w:val="00D379EB"/>
    <w:rsid w:val="00D51F53"/>
    <w:rsid w:val="00D5460A"/>
    <w:rsid w:val="00D561FE"/>
    <w:rsid w:val="00D8620D"/>
    <w:rsid w:val="00DB3A69"/>
    <w:rsid w:val="00DD0EF5"/>
    <w:rsid w:val="00E55299"/>
    <w:rsid w:val="00E57B58"/>
    <w:rsid w:val="00ED6DD0"/>
    <w:rsid w:val="00F161AA"/>
    <w:rsid w:val="00F511C6"/>
    <w:rsid w:val="00F62144"/>
    <w:rsid w:val="00F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2015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65624-B99A-4974-9DAA-03027DA77703}"/>
</file>

<file path=customXml/itemProps2.xml><?xml version="1.0" encoding="utf-8"?>
<ds:datastoreItem xmlns:ds="http://schemas.openxmlformats.org/officeDocument/2006/customXml" ds:itemID="{319B503A-36F7-41B7-AC2F-0052A028C744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B4A073C-8E3E-41EC-A42D-6BC4D57D437C}"/>
</file>

<file path=customXml/itemProps5.xml><?xml version="1.0" encoding="utf-8"?>
<ds:datastoreItem xmlns:ds="http://schemas.openxmlformats.org/officeDocument/2006/customXml" ds:itemID="{00D242DE-FD3E-4AF6-B22B-0478C246FE4F}"/>
</file>

<file path=customXml/itemProps6.xml><?xml version="1.0" encoding="utf-8"?>
<ds:datastoreItem xmlns:ds="http://schemas.openxmlformats.org/officeDocument/2006/customXml" ds:itemID="{0FAC6912-F384-4EB6-852E-F4B921417865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10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IV Monitoring and Risk Assessment</vt:lpstr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IV Monitoring and Risk Assessment</dc:title>
  <dc:subject>System level – Section A</dc:subject>
  <dc:creator>Roy Rucks</dc:creator>
  <cp:keywords/>
  <cp:lastModifiedBy>Roy Rucks</cp:lastModifiedBy>
  <cp:revision>4</cp:revision>
  <cp:lastPrinted>2015-01-30T03:54:00Z</cp:lastPrinted>
  <dcterms:created xsi:type="dcterms:W3CDTF">2015-02-25T13:20:00Z</dcterms:created>
  <dcterms:modified xsi:type="dcterms:W3CDTF">2015-02-25T13:41:00Z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